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996D40">
      <w:pPr>
        <w:ind w:firstLine="1680" w:firstLineChars="200"/>
        <w:jc w:val="both"/>
        <w:rPr>
          <w:rFonts w:hint="eastAsia" w:ascii="宋体" w:hAnsi="宋体"/>
          <w:b/>
          <w:sz w:val="84"/>
          <w:szCs w:val="84"/>
        </w:rPr>
      </w:pPr>
      <w:r>
        <w:rPr>
          <w:rFonts w:hint="eastAsia" w:ascii="宋体" w:hAnsi="宋体"/>
          <w:b/>
          <w:sz w:val="84"/>
          <w:szCs w:val="84"/>
        </w:rPr>
        <w:t>货物和服务项目</w:t>
      </w:r>
    </w:p>
    <w:p w14:paraId="59F68848">
      <w:pPr>
        <w:rPr>
          <w:rFonts w:hint="eastAsia" w:ascii="宋体" w:hAnsi="宋体"/>
          <w:b/>
          <w:szCs w:val="21"/>
        </w:rPr>
      </w:pPr>
    </w:p>
    <w:p w14:paraId="53BF2B56">
      <w:pPr>
        <w:rPr>
          <w:rFonts w:hint="eastAsia" w:ascii="宋体" w:hAnsi="宋体"/>
          <w:b/>
          <w:szCs w:val="21"/>
        </w:rPr>
      </w:pPr>
    </w:p>
    <w:p w14:paraId="33E8B07B">
      <w:pPr>
        <w:rPr>
          <w:rFonts w:hint="eastAsia" w:ascii="宋体" w:hAnsi="宋体"/>
          <w:b/>
          <w:szCs w:val="21"/>
        </w:rPr>
      </w:pPr>
    </w:p>
    <w:p w14:paraId="2A985EDD">
      <w:pPr>
        <w:rPr>
          <w:rFonts w:hint="eastAsia" w:ascii="宋体" w:hAnsi="宋体"/>
          <w:b/>
          <w:szCs w:val="21"/>
        </w:rPr>
      </w:pPr>
    </w:p>
    <w:p w14:paraId="1B7F67B1">
      <w:pPr>
        <w:rPr>
          <w:rFonts w:hint="eastAsia" w:ascii="宋体" w:hAnsi="宋体"/>
          <w:b/>
          <w:szCs w:val="21"/>
        </w:rPr>
      </w:pPr>
    </w:p>
    <w:p w14:paraId="169E2AAA">
      <w:pPr>
        <w:rPr>
          <w:rFonts w:hint="eastAsia" w:ascii="宋体" w:hAnsi="宋体"/>
          <w:b/>
          <w:szCs w:val="21"/>
        </w:rPr>
      </w:pPr>
    </w:p>
    <w:p w14:paraId="4C06BE09">
      <w:pPr>
        <w:tabs>
          <w:tab w:val="left" w:pos="0"/>
        </w:tabs>
        <w:jc w:val="center"/>
        <w:rPr>
          <w:rFonts w:hint="eastAsia" w:ascii="宋体" w:hAnsi="宋体"/>
          <w:b/>
          <w:sz w:val="32"/>
          <w:szCs w:val="32"/>
        </w:rPr>
      </w:pPr>
      <w:r>
        <w:rPr>
          <w:rFonts w:hint="eastAsia" w:ascii="宋体" w:hAnsi="宋体"/>
          <w:b/>
          <w:sz w:val="84"/>
          <w:szCs w:val="84"/>
        </w:rPr>
        <w:t>询价文件</w:t>
      </w:r>
    </w:p>
    <w:p w14:paraId="3722B489">
      <w:pPr>
        <w:jc w:val="center"/>
        <w:rPr>
          <w:rFonts w:hint="eastAsia" w:ascii="宋体" w:hAnsi="宋体"/>
          <w:b/>
          <w:sz w:val="24"/>
        </w:rPr>
      </w:pPr>
    </w:p>
    <w:p w14:paraId="4D7C15C7">
      <w:pPr>
        <w:rPr>
          <w:rFonts w:hint="eastAsia" w:ascii="宋体" w:hAnsi="宋体"/>
          <w:b/>
          <w:sz w:val="24"/>
        </w:rPr>
      </w:pPr>
    </w:p>
    <w:p w14:paraId="7B60842B">
      <w:pPr>
        <w:jc w:val="center"/>
        <w:rPr>
          <w:rFonts w:hint="eastAsia" w:ascii="宋体" w:hAnsi="宋体"/>
          <w:b/>
          <w:sz w:val="24"/>
        </w:rPr>
      </w:pPr>
    </w:p>
    <w:p w14:paraId="5D06DECB">
      <w:pPr>
        <w:jc w:val="center"/>
        <w:rPr>
          <w:rFonts w:hint="eastAsia" w:ascii="宋体" w:hAnsi="宋体"/>
          <w:b/>
          <w:sz w:val="24"/>
        </w:rPr>
      </w:pPr>
    </w:p>
    <w:p w14:paraId="6AA1F9DD">
      <w:pPr>
        <w:jc w:val="center"/>
        <w:rPr>
          <w:rFonts w:hint="eastAsia" w:ascii="宋体" w:hAnsi="宋体"/>
          <w:b/>
          <w:sz w:val="28"/>
          <w:szCs w:val="28"/>
        </w:rPr>
      </w:pPr>
    </w:p>
    <w:p w14:paraId="2F85A790">
      <w:pPr>
        <w:jc w:val="center"/>
        <w:rPr>
          <w:rFonts w:hint="eastAsia" w:ascii="宋体" w:hAnsi="宋体"/>
          <w:b/>
          <w:sz w:val="28"/>
          <w:szCs w:val="28"/>
        </w:rPr>
      </w:pPr>
    </w:p>
    <w:p w14:paraId="16878FA4">
      <w:pPr>
        <w:ind w:left="1395" w:leftChars="450" w:firstLine="0" w:firstLineChars="0"/>
        <w:jc w:val="both"/>
        <w:rPr>
          <w:rFonts w:hint="default" w:ascii="宋体" w:hAnsi="宋体" w:eastAsia="仿宋_GB2312" w:cs="Times New Roman"/>
          <w:b/>
          <w:kern w:val="2"/>
          <w:sz w:val="28"/>
          <w:szCs w:val="31"/>
          <w:u w:val="single"/>
          <w:lang w:val="en-US" w:eastAsia="zh-CN" w:bidi="ar-SA"/>
        </w:rPr>
      </w:pPr>
      <w:r>
        <w:rPr>
          <w:rFonts w:hint="eastAsia" w:ascii="宋体" w:hAnsi="宋体"/>
          <w:b/>
          <w:sz w:val="28"/>
        </w:rPr>
        <w:t>询价项目名称：</w:t>
      </w:r>
      <w:r>
        <w:rPr>
          <w:rFonts w:hint="eastAsia" w:ascii="宋体" w:hAnsi="宋体" w:eastAsia="仿宋_GB2312" w:cs="Times New Roman"/>
          <w:b/>
          <w:bCs/>
          <w:kern w:val="2"/>
          <w:sz w:val="28"/>
          <w:szCs w:val="31"/>
          <w:u w:val="single"/>
          <w:lang w:val="en-US" w:eastAsia="zh-CN" w:bidi="ar-SA"/>
        </w:rPr>
        <w:t>三明市四大慢病专项信息化硬件安全建设</w:t>
      </w:r>
    </w:p>
    <w:p w14:paraId="031A21C0">
      <w:pPr>
        <w:pStyle w:val="2"/>
        <w:spacing w:line="360" w:lineRule="auto"/>
        <w:ind w:firstLine="1391" w:firstLineChars="497"/>
        <w:rPr>
          <w:rFonts w:hint="eastAsia" w:ascii="宋体" w:hAnsi="宋体" w:eastAsia="仿宋_GB2312"/>
          <w:b/>
          <w:sz w:val="28"/>
          <w:u w:val="single"/>
          <w:lang w:val="en-US" w:eastAsia="zh-CN"/>
        </w:rPr>
      </w:pPr>
      <w:r>
        <w:rPr>
          <w:rFonts w:hint="eastAsia" w:ascii="宋体" w:hAnsi="宋体"/>
          <w:b/>
          <w:sz w:val="28"/>
        </w:rPr>
        <w:t>招  标  人：</w:t>
      </w:r>
      <w:r>
        <w:rPr>
          <w:rFonts w:hint="eastAsia" w:ascii="宋体" w:hAnsi="宋体"/>
          <w:b/>
          <w:sz w:val="28"/>
          <w:u w:val="single"/>
        </w:rPr>
        <w:t xml:space="preserve">      </w:t>
      </w:r>
      <w:r>
        <w:rPr>
          <w:rFonts w:hint="eastAsia" w:ascii="宋体" w:hAnsi="宋体"/>
          <w:b/>
          <w:bCs/>
          <w:sz w:val="28"/>
          <w:u w:val="single"/>
        </w:rPr>
        <w:t xml:space="preserve">三明市第一医院 </w:t>
      </w:r>
      <w:r>
        <w:rPr>
          <w:rFonts w:hint="eastAsia" w:ascii="宋体" w:hAnsi="宋体"/>
          <w:b/>
          <w:sz w:val="28"/>
          <w:u w:val="single"/>
        </w:rPr>
        <w:t xml:space="preserve">   </w:t>
      </w:r>
      <w:r>
        <w:rPr>
          <w:rFonts w:hint="eastAsia"/>
          <w:b/>
          <w:sz w:val="28"/>
          <w:u w:val="single"/>
          <w:lang w:val="en-US" w:eastAsia="zh-CN"/>
        </w:rPr>
        <w:t xml:space="preserve"> </w:t>
      </w:r>
    </w:p>
    <w:p w14:paraId="11BE2853">
      <w:pPr>
        <w:pStyle w:val="2"/>
        <w:spacing w:line="360" w:lineRule="auto"/>
        <w:ind w:firstLine="1383" w:firstLineChars="494"/>
        <w:rPr>
          <w:rFonts w:hint="default" w:ascii="宋体" w:hAnsi="宋体" w:eastAsia="仿宋_GB2312"/>
          <w:sz w:val="32"/>
          <w:lang w:val="en-US" w:eastAsia="zh-CN"/>
        </w:rPr>
        <w:sectPr>
          <w:footerReference r:id="rId5" w:type="first"/>
          <w:footerReference r:id="rId3" w:type="default"/>
          <w:footerReference r:id="rId4" w:type="even"/>
          <w:pgSz w:w="11907" w:h="16840"/>
          <w:pgMar w:top="936" w:right="1007" w:bottom="1089" w:left="1588" w:header="851" w:footer="992" w:gutter="0"/>
          <w:pgNumType w:start="1"/>
          <w:cols w:space="720" w:num="1"/>
          <w:titlePg/>
          <w:docGrid w:type="linesAndChars" w:linePitch="312" w:charSpace="0"/>
        </w:sectPr>
      </w:pPr>
      <w:r>
        <w:rPr>
          <w:rFonts w:hint="eastAsia" w:ascii="宋体" w:hAnsi="宋体"/>
          <w:b/>
          <w:sz w:val="28"/>
        </w:rPr>
        <w:t>日      期：</w:t>
      </w:r>
      <w:r>
        <w:rPr>
          <w:rFonts w:hint="eastAsia" w:ascii="宋体" w:hAnsi="宋体"/>
          <w:b/>
          <w:sz w:val="28"/>
          <w:u w:val="single"/>
        </w:rPr>
        <w:t>　     202</w:t>
      </w:r>
      <w:r>
        <w:rPr>
          <w:rFonts w:hint="eastAsia" w:ascii="宋体" w:hAnsi="宋体"/>
          <w:b/>
          <w:sz w:val="28"/>
          <w:u w:val="single"/>
          <w:lang w:val="en-US" w:eastAsia="zh-CN"/>
        </w:rPr>
        <w:t>6</w:t>
      </w:r>
      <w:r>
        <w:rPr>
          <w:rFonts w:hint="eastAsia" w:ascii="宋体" w:hAnsi="宋体"/>
          <w:b/>
          <w:sz w:val="28"/>
          <w:u w:val="single"/>
        </w:rPr>
        <w:t>年</w:t>
      </w:r>
      <w:r>
        <w:rPr>
          <w:rFonts w:hint="eastAsia"/>
          <w:b/>
          <w:sz w:val="28"/>
          <w:u w:val="single"/>
          <w:lang w:val="en-US" w:eastAsia="zh-CN"/>
        </w:rPr>
        <w:t>4</w:t>
      </w:r>
      <w:r>
        <w:rPr>
          <w:rFonts w:hint="eastAsia" w:ascii="宋体" w:hAnsi="宋体"/>
          <w:b/>
          <w:sz w:val="28"/>
          <w:u w:val="single"/>
        </w:rPr>
        <w:t xml:space="preserve">月      </w:t>
      </w:r>
      <w:r>
        <w:rPr>
          <w:rFonts w:hint="eastAsia"/>
          <w:b/>
          <w:sz w:val="28"/>
          <w:u w:val="single"/>
          <w:lang w:val="en-US" w:eastAsia="zh-CN"/>
        </w:rPr>
        <w:t xml:space="preserve">  </w:t>
      </w:r>
    </w:p>
    <w:p w14:paraId="641CA5F4">
      <w:pPr>
        <w:pStyle w:val="5"/>
        <w:spacing w:line="420" w:lineRule="auto"/>
        <w:outlineLvl w:val="0"/>
        <w:rPr>
          <w:rFonts w:hint="eastAsia" w:hAnsi="宋体"/>
          <w:b/>
          <w:sz w:val="24"/>
        </w:rPr>
      </w:pPr>
    </w:p>
    <w:p w14:paraId="51F503AA">
      <w:pPr>
        <w:pStyle w:val="5"/>
        <w:spacing w:line="420" w:lineRule="auto"/>
        <w:ind w:firstLine="420"/>
        <w:jc w:val="center"/>
        <w:outlineLvl w:val="0"/>
        <w:rPr>
          <w:rFonts w:hint="eastAsia" w:hAnsi="宋体"/>
          <w:b/>
          <w:sz w:val="24"/>
        </w:rPr>
      </w:pPr>
      <w:r>
        <w:rPr>
          <w:rFonts w:hint="eastAsia" w:hAnsi="宋体"/>
          <w:b/>
          <w:sz w:val="24"/>
        </w:rPr>
        <w:t xml:space="preserve">                                         </w:t>
      </w:r>
    </w:p>
    <w:p w14:paraId="5B1AFC1D">
      <w:pPr>
        <w:pStyle w:val="5"/>
        <w:jc w:val="center"/>
        <w:outlineLvl w:val="0"/>
        <w:rPr>
          <w:rFonts w:hint="eastAsia" w:ascii="仿宋_GB2312" w:hAnsi="宋体" w:eastAsia="仿宋_GB2312"/>
          <w:b/>
          <w:bCs/>
          <w:sz w:val="32"/>
        </w:rPr>
      </w:pPr>
      <w:r>
        <w:rPr>
          <w:rFonts w:hint="eastAsia" w:ascii="仿宋_GB2312" w:hAnsi="宋体" w:eastAsia="仿宋_GB2312"/>
          <w:b/>
          <w:bCs/>
          <w:sz w:val="32"/>
        </w:rPr>
        <w:t>目   录</w:t>
      </w:r>
    </w:p>
    <w:p w14:paraId="4C2E3FFD">
      <w:pPr>
        <w:pStyle w:val="2"/>
        <w:snapToGrid w:val="0"/>
        <w:spacing w:line="420" w:lineRule="atLeast"/>
        <w:ind w:firstLine="560"/>
        <w:rPr>
          <w:rFonts w:hint="eastAsia" w:ascii="仿宋_GB2312" w:hAnsi="宋体" w:eastAsia="仿宋_GB2312"/>
          <w:sz w:val="28"/>
        </w:rPr>
      </w:pPr>
    </w:p>
    <w:p w14:paraId="08709D49">
      <w:pPr>
        <w:pStyle w:val="2"/>
        <w:snapToGrid w:val="0"/>
        <w:spacing w:line="440" w:lineRule="exact"/>
        <w:ind w:firstLine="480"/>
        <w:rPr>
          <w:rFonts w:hint="eastAsia" w:ascii="仿宋" w:hAnsi="仿宋" w:eastAsia="仿宋" w:cs="仿宋"/>
          <w:sz w:val="24"/>
        </w:rPr>
      </w:pPr>
      <w:r>
        <w:rPr>
          <w:rFonts w:hint="eastAsia" w:ascii="仿宋" w:hAnsi="仿宋" w:eastAsia="仿宋" w:cs="仿宋"/>
          <w:sz w:val="24"/>
        </w:rPr>
        <w:t>第一章  询价公告</w:t>
      </w:r>
    </w:p>
    <w:p w14:paraId="1EA5A343">
      <w:pPr>
        <w:pStyle w:val="2"/>
        <w:snapToGrid w:val="0"/>
        <w:spacing w:line="440" w:lineRule="exact"/>
        <w:ind w:firstLine="480"/>
        <w:rPr>
          <w:rFonts w:hint="eastAsia" w:ascii="仿宋" w:hAnsi="仿宋" w:eastAsia="仿宋" w:cs="仿宋"/>
          <w:sz w:val="24"/>
        </w:rPr>
      </w:pPr>
      <w:r>
        <w:rPr>
          <w:rFonts w:hint="eastAsia" w:ascii="仿宋" w:hAnsi="仿宋" w:eastAsia="仿宋" w:cs="仿宋"/>
          <w:sz w:val="24"/>
        </w:rPr>
        <w:t>第二章  报价书</w:t>
      </w:r>
    </w:p>
    <w:p w14:paraId="69B0D4E6">
      <w:pPr>
        <w:pStyle w:val="24"/>
        <w:rPr>
          <w:rFonts w:hint="eastAsia" w:ascii="仿宋_GB2312" w:hAnsi="宋体" w:eastAsia="仿宋_GB2312"/>
          <w:b/>
          <w:color w:val="auto"/>
          <w:sz w:val="36"/>
        </w:rPr>
      </w:pPr>
    </w:p>
    <w:p w14:paraId="2F2F845A">
      <w:pPr>
        <w:pStyle w:val="24"/>
        <w:rPr>
          <w:rFonts w:hint="eastAsia" w:ascii="仿宋_GB2312" w:hAnsi="宋体" w:eastAsia="仿宋_GB2312"/>
          <w:b/>
          <w:color w:val="auto"/>
          <w:sz w:val="36"/>
        </w:rPr>
      </w:pPr>
    </w:p>
    <w:p w14:paraId="168D8EC8">
      <w:pPr>
        <w:spacing w:line="360" w:lineRule="auto"/>
        <w:jc w:val="center"/>
        <w:rPr>
          <w:rFonts w:hint="eastAsia" w:ascii="仿宋" w:hAnsi="仿宋" w:eastAsia="仿宋" w:cs="仿宋"/>
          <w:b/>
          <w:bCs/>
          <w:sz w:val="32"/>
        </w:rPr>
      </w:pPr>
      <w:bookmarkStart w:id="0" w:name="_Toc247770230"/>
      <w:bookmarkStart w:id="1" w:name="_Toc101777609"/>
      <w:r>
        <w:rPr>
          <w:rFonts w:hint="eastAsia" w:ascii="仿宋_GB2312" w:eastAsia="仿宋_GB2312"/>
          <w:b/>
          <w:bCs/>
          <w:sz w:val="32"/>
        </w:rPr>
        <w:br w:type="page"/>
      </w:r>
      <w:r>
        <w:rPr>
          <w:rFonts w:hint="eastAsia" w:ascii="仿宋" w:hAnsi="仿宋" w:eastAsia="仿宋" w:cs="仿宋"/>
          <w:b/>
          <w:bCs/>
          <w:sz w:val="32"/>
        </w:rPr>
        <w:t>第一章    询价公告</w:t>
      </w:r>
    </w:p>
    <w:p w14:paraId="5054102E">
      <w:pPr>
        <w:spacing w:line="360" w:lineRule="auto"/>
        <w:ind w:firstLine="480" w:firstLineChars="200"/>
        <w:rPr>
          <w:rFonts w:hint="eastAsia" w:ascii="仿宋" w:hAnsi="仿宋" w:eastAsia="仿宋" w:cs="仿宋"/>
          <w:sz w:val="24"/>
        </w:rPr>
      </w:pPr>
      <w:r>
        <w:rPr>
          <w:rFonts w:hint="eastAsia" w:ascii="仿宋" w:hAnsi="仿宋" w:eastAsia="仿宋" w:cs="仿宋"/>
          <w:sz w:val="24"/>
        </w:rPr>
        <w:t>三明市第一医院就</w:t>
      </w:r>
      <w:r>
        <w:rPr>
          <w:rFonts w:hint="eastAsia" w:ascii="仿宋" w:hAnsi="仿宋" w:eastAsia="仿宋" w:cs="仿宋"/>
          <w:sz w:val="24"/>
          <w:lang w:val="en-US" w:eastAsia="zh-CN"/>
        </w:rPr>
        <w:t>三明市四大慢病专项信息化硬件安全建设</w:t>
      </w:r>
      <w:r>
        <w:rPr>
          <w:rFonts w:hint="eastAsia" w:ascii="仿宋" w:hAnsi="仿宋" w:eastAsia="仿宋" w:cs="仿宋"/>
          <w:sz w:val="24"/>
        </w:rPr>
        <w:t>进行公开询价，欢迎国内具有资质条件的供应商前来参加报价。</w:t>
      </w:r>
    </w:p>
    <w:p w14:paraId="7ECF2C38">
      <w:pPr>
        <w:numPr>
          <w:ilvl w:val="0"/>
          <w:numId w:val="1"/>
        </w:numPr>
        <w:spacing w:line="360" w:lineRule="auto"/>
        <w:rPr>
          <w:rFonts w:hint="eastAsia" w:ascii="仿宋_GB2312" w:hAnsi="宋体" w:eastAsia="仿宋_GB2312"/>
          <w:sz w:val="24"/>
        </w:rPr>
      </w:pPr>
      <w:r>
        <w:rPr>
          <w:rFonts w:hint="eastAsia" w:ascii="仿宋" w:hAnsi="仿宋" w:eastAsia="仿宋" w:cs="仿宋"/>
          <w:sz w:val="24"/>
        </w:rPr>
        <w:t>项目名称：</w:t>
      </w:r>
      <w:r>
        <w:rPr>
          <w:rFonts w:hint="eastAsia" w:ascii="仿宋" w:hAnsi="仿宋" w:eastAsia="仿宋" w:cs="仿宋"/>
          <w:sz w:val="24"/>
          <w:lang w:val="en-US" w:eastAsia="zh-CN"/>
        </w:rPr>
        <w:t>三明市四大慢病专项信息化硬件安全建设</w:t>
      </w:r>
    </w:p>
    <w:p w14:paraId="0ADCD512">
      <w:pPr>
        <w:numPr>
          <w:ilvl w:val="0"/>
          <w:numId w:val="1"/>
        </w:numPr>
        <w:spacing w:line="360" w:lineRule="auto"/>
        <w:rPr>
          <w:rFonts w:hint="eastAsia" w:ascii="仿宋" w:hAnsi="仿宋" w:eastAsia="仿宋" w:cs="仿宋"/>
          <w:sz w:val="24"/>
        </w:rPr>
      </w:pPr>
      <w:r>
        <w:rPr>
          <w:rFonts w:hint="eastAsia" w:ascii="仿宋" w:hAnsi="仿宋" w:eastAsia="仿宋" w:cs="仿宋"/>
          <w:sz w:val="24"/>
        </w:rPr>
        <w:t>项目内容及要求：</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498"/>
        <w:gridCol w:w="5079"/>
        <w:gridCol w:w="612"/>
        <w:gridCol w:w="600"/>
      </w:tblGrid>
      <w:tr w14:paraId="2FAB7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blHeader/>
        </w:trPr>
        <w:tc>
          <w:tcPr>
            <w:tcW w:w="430" w:type="pct"/>
            <w:tcBorders>
              <w:tl2br w:val="nil"/>
              <w:tr2bl w:val="nil"/>
            </w:tcBorders>
            <w:shd w:val="clear" w:color="000000" w:fill="FFFFFF"/>
            <w:vAlign w:val="center"/>
          </w:tcPr>
          <w:p w14:paraId="43988053">
            <w:pPr>
              <w:widowControl/>
              <w:jc w:val="center"/>
              <w:textAlignment w:val="center"/>
              <w:rPr>
                <w:rFonts w:hint="eastAsia" w:ascii="方正仿宋_GBK" w:hAnsi="方正仿宋_GBK" w:eastAsia="方正仿宋_GBK" w:cs="方正仿宋_GBK"/>
                <w:b/>
                <w:bCs/>
                <w:color w:val="000000"/>
                <w:sz w:val="24"/>
                <w:szCs w:val="24"/>
              </w:rPr>
            </w:pPr>
            <w:bookmarkStart w:id="2" w:name="RANGE!B3"/>
            <w:r>
              <w:rPr>
                <w:rFonts w:hint="eastAsia" w:ascii="方正仿宋_GBK" w:hAnsi="方正仿宋_GBK" w:eastAsia="方正仿宋_GBK" w:cs="方正仿宋_GBK"/>
                <w:b/>
                <w:bCs/>
                <w:color w:val="000000"/>
                <w:kern w:val="0"/>
                <w:sz w:val="24"/>
                <w:szCs w:val="24"/>
                <w:lang w:bidi="ar"/>
              </w:rPr>
              <w:t>编号</w:t>
            </w:r>
            <w:bookmarkEnd w:id="2"/>
          </w:p>
        </w:tc>
        <w:tc>
          <w:tcPr>
            <w:tcW w:w="879" w:type="pct"/>
            <w:tcBorders>
              <w:tl2br w:val="nil"/>
              <w:tr2bl w:val="nil"/>
            </w:tcBorders>
            <w:shd w:val="clear" w:color="000000" w:fill="FFFFFF"/>
            <w:vAlign w:val="center"/>
          </w:tcPr>
          <w:p w14:paraId="3DE3CADE">
            <w:pPr>
              <w:widowControl/>
              <w:jc w:val="center"/>
              <w:textAlignment w:val="center"/>
              <w:rPr>
                <w:rFonts w:hint="eastAsia"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kern w:val="0"/>
                <w:sz w:val="24"/>
                <w:szCs w:val="24"/>
                <w:lang w:bidi="ar"/>
              </w:rPr>
              <w:t>项目名称</w:t>
            </w:r>
          </w:p>
        </w:tc>
        <w:tc>
          <w:tcPr>
            <w:tcW w:w="2980" w:type="pct"/>
            <w:tcBorders>
              <w:tl2br w:val="nil"/>
              <w:tr2bl w:val="nil"/>
            </w:tcBorders>
            <w:shd w:val="clear" w:color="000000" w:fill="FFFFFF"/>
            <w:vAlign w:val="center"/>
          </w:tcPr>
          <w:p w14:paraId="4091FBF1">
            <w:pPr>
              <w:widowControl/>
              <w:jc w:val="center"/>
              <w:textAlignment w:val="center"/>
              <w:rPr>
                <w:rFonts w:hint="eastAsia"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kern w:val="0"/>
                <w:sz w:val="24"/>
                <w:szCs w:val="24"/>
                <w:lang w:bidi="ar"/>
              </w:rPr>
              <w:t>主要性能指标</w:t>
            </w:r>
          </w:p>
        </w:tc>
        <w:tc>
          <w:tcPr>
            <w:tcW w:w="359" w:type="pct"/>
            <w:tcBorders>
              <w:tl2br w:val="nil"/>
              <w:tr2bl w:val="nil"/>
            </w:tcBorders>
            <w:shd w:val="clear" w:color="auto" w:fill="auto"/>
            <w:vAlign w:val="center"/>
          </w:tcPr>
          <w:p w14:paraId="7AD2FEE6">
            <w:pPr>
              <w:widowControl/>
              <w:jc w:val="center"/>
              <w:textAlignment w:val="center"/>
              <w:rPr>
                <w:rFonts w:hint="eastAsia"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kern w:val="0"/>
                <w:sz w:val="24"/>
                <w:szCs w:val="24"/>
                <w:lang w:bidi="ar"/>
              </w:rPr>
              <w:t>单位</w:t>
            </w:r>
          </w:p>
        </w:tc>
        <w:tc>
          <w:tcPr>
            <w:tcW w:w="352" w:type="pct"/>
            <w:tcBorders>
              <w:tl2br w:val="nil"/>
              <w:tr2bl w:val="nil"/>
            </w:tcBorders>
            <w:shd w:val="clear" w:color="auto" w:fill="auto"/>
            <w:vAlign w:val="center"/>
          </w:tcPr>
          <w:p w14:paraId="4453B385">
            <w:pPr>
              <w:widowControl/>
              <w:jc w:val="center"/>
              <w:textAlignment w:val="center"/>
              <w:rPr>
                <w:rFonts w:hint="eastAsia"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kern w:val="0"/>
                <w:sz w:val="24"/>
                <w:szCs w:val="24"/>
                <w:lang w:bidi="ar"/>
              </w:rPr>
              <w:t>数量</w:t>
            </w:r>
          </w:p>
        </w:tc>
      </w:tr>
      <w:tr w14:paraId="64B6B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0" w:type="pct"/>
            <w:tcBorders>
              <w:tl2br w:val="nil"/>
              <w:tr2bl w:val="nil"/>
            </w:tcBorders>
            <w:shd w:val="clear" w:color="000000" w:fill="D9D9D9"/>
            <w:noWrap/>
            <w:vAlign w:val="center"/>
          </w:tcPr>
          <w:p w14:paraId="652B37B2">
            <w:pPr>
              <w:widowControl/>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一</w:t>
            </w:r>
          </w:p>
        </w:tc>
        <w:tc>
          <w:tcPr>
            <w:tcW w:w="879" w:type="pct"/>
            <w:tcBorders>
              <w:tl2br w:val="nil"/>
              <w:tr2bl w:val="nil"/>
            </w:tcBorders>
            <w:shd w:val="clear" w:color="000000" w:fill="D9D9D9"/>
            <w:vAlign w:val="center"/>
          </w:tcPr>
          <w:p w14:paraId="2E1D63FC">
            <w:pPr>
              <w:widowControl/>
              <w:jc w:val="left"/>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云计算资源扩容</w:t>
            </w:r>
          </w:p>
        </w:tc>
        <w:tc>
          <w:tcPr>
            <w:tcW w:w="2980" w:type="pct"/>
            <w:tcBorders>
              <w:tl2br w:val="nil"/>
              <w:tr2bl w:val="nil"/>
            </w:tcBorders>
            <w:shd w:val="clear" w:color="000000" w:fill="D9D9D9"/>
            <w:vAlign w:val="center"/>
          </w:tcPr>
          <w:p w14:paraId="60873EB5">
            <w:pPr>
              <w:widowControl/>
              <w:jc w:val="left"/>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kern w:val="0"/>
                <w:sz w:val="24"/>
                <w:szCs w:val="24"/>
                <w:lang w:bidi="ar"/>
              </w:rPr>
              <w:t>　</w:t>
            </w:r>
          </w:p>
        </w:tc>
        <w:tc>
          <w:tcPr>
            <w:tcW w:w="359" w:type="pct"/>
            <w:tcBorders>
              <w:tl2br w:val="nil"/>
              <w:tr2bl w:val="nil"/>
            </w:tcBorders>
            <w:shd w:val="clear" w:color="000000" w:fill="D9D9D9"/>
            <w:vAlign w:val="center"/>
          </w:tcPr>
          <w:p w14:paraId="3D1D2BD3">
            <w:pPr>
              <w:widowControl/>
              <w:jc w:val="center"/>
              <w:textAlignment w:val="center"/>
              <w:rPr>
                <w:rFonts w:hint="eastAsia"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kern w:val="0"/>
                <w:sz w:val="24"/>
                <w:szCs w:val="24"/>
                <w:lang w:bidi="ar"/>
              </w:rPr>
              <w:t>　</w:t>
            </w:r>
          </w:p>
        </w:tc>
        <w:tc>
          <w:tcPr>
            <w:tcW w:w="352" w:type="pct"/>
            <w:tcBorders>
              <w:tl2br w:val="nil"/>
              <w:tr2bl w:val="nil"/>
            </w:tcBorders>
            <w:shd w:val="clear" w:color="000000" w:fill="D9D9D9"/>
            <w:vAlign w:val="center"/>
          </w:tcPr>
          <w:p w14:paraId="477E53FC">
            <w:pPr>
              <w:widowControl/>
              <w:jc w:val="center"/>
              <w:textAlignment w:val="center"/>
              <w:rPr>
                <w:rFonts w:hint="eastAsia"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kern w:val="0"/>
                <w:sz w:val="24"/>
                <w:szCs w:val="24"/>
                <w:lang w:bidi="ar"/>
              </w:rPr>
              <w:t>　</w:t>
            </w:r>
          </w:p>
        </w:tc>
      </w:tr>
      <w:tr w14:paraId="68347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30" w:type="pct"/>
            <w:tcBorders>
              <w:tl2br w:val="nil"/>
              <w:tr2bl w:val="nil"/>
            </w:tcBorders>
            <w:shd w:val="clear" w:color="auto" w:fill="auto"/>
            <w:vAlign w:val="center"/>
          </w:tcPr>
          <w:p w14:paraId="5B1CF7EF">
            <w:pPr>
              <w:widowControl/>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1</w:t>
            </w:r>
          </w:p>
        </w:tc>
        <w:tc>
          <w:tcPr>
            <w:tcW w:w="879" w:type="pct"/>
            <w:tcBorders>
              <w:tl2br w:val="nil"/>
              <w:tr2bl w:val="nil"/>
            </w:tcBorders>
            <w:shd w:val="clear" w:color="auto" w:fill="auto"/>
            <w:vAlign w:val="center"/>
          </w:tcPr>
          <w:p w14:paraId="3DC5C04C">
            <w:pPr>
              <w:widowControl/>
              <w:jc w:val="left"/>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国产超融合一体机（政务外网）</w:t>
            </w:r>
          </w:p>
        </w:tc>
        <w:tc>
          <w:tcPr>
            <w:tcW w:w="2980" w:type="pct"/>
            <w:tcBorders>
              <w:tl2br w:val="nil"/>
              <w:tr2bl w:val="nil"/>
            </w:tcBorders>
            <w:shd w:val="clear" w:color="000000" w:fill="FFFFFF"/>
            <w:noWrap/>
            <w:vAlign w:val="center"/>
          </w:tcPr>
          <w:p w14:paraId="23372B83">
            <w:pPr>
              <w:widowControl/>
              <w:jc w:val="left"/>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在现有虚拟化平台上扩容3个节点的超融合一体机，具体扩容要求如下：</w:t>
            </w:r>
          </w:p>
          <w:p w14:paraId="70140AAB">
            <w:pPr>
              <w:widowControl/>
              <w:jc w:val="left"/>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1）单节点超融合设备≥2U机架式，实配≥2颗国产中央处理器，单颗中央处理器主频≥2.6GHz、核数≥48核、L3缓存≥256MB；配置≥1024GB DDR5 RDIMM 内存；配置≥4千兆电口，≥6个万兆光端口(含SFP+ 模块), ≥2端口32GB的FC接口（含光模块）；≥2块480G SSD硬盘；配置RAID卡(带4GB缓存，含超级电容），冗余电源；</w:t>
            </w:r>
          </w:p>
          <w:p w14:paraId="4A27F625">
            <w:pPr>
              <w:widowControl/>
              <w:jc w:val="left"/>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2）本次在现有的虚拟化管理平台上，扩容管理平台软件许可≥14颗CPU授权、计算虚拟化许可≥26颗CPU授权，云主机深度安全防护系统 (AV+DPI) 许可≥14颗CPU授权，5年原厂质保。</w:t>
            </w:r>
          </w:p>
        </w:tc>
        <w:tc>
          <w:tcPr>
            <w:tcW w:w="359" w:type="pct"/>
            <w:tcBorders>
              <w:tl2br w:val="nil"/>
              <w:tr2bl w:val="nil"/>
            </w:tcBorders>
            <w:shd w:val="clear" w:color="auto" w:fill="auto"/>
            <w:vAlign w:val="center"/>
          </w:tcPr>
          <w:p w14:paraId="708288EA">
            <w:pPr>
              <w:widowControl/>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套</w:t>
            </w:r>
          </w:p>
        </w:tc>
        <w:tc>
          <w:tcPr>
            <w:tcW w:w="352" w:type="pct"/>
            <w:tcBorders>
              <w:tl2br w:val="nil"/>
              <w:tr2bl w:val="nil"/>
            </w:tcBorders>
            <w:shd w:val="clear" w:color="auto" w:fill="auto"/>
            <w:vAlign w:val="center"/>
          </w:tcPr>
          <w:p w14:paraId="56D225EA">
            <w:pPr>
              <w:widowControl/>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1</w:t>
            </w:r>
          </w:p>
        </w:tc>
      </w:tr>
      <w:tr w14:paraId="6F928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30" w:type="pct"/>
            <w:tcBorders>
              <w:tl2br w:val="nil"/>
              <w:tr2bl w:val="nil"/>
            </w:tcBorders>
            <w:shd w:val="clear" w:color="auto" w:fill="auto"/>
            <w:vAlign w:val="center"/>
          </w:tcPr>
          <w:p w14:paraId="1B3968CF">
            <w:pPr>
              <w:widowControl/>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2</w:t>
            </w:r>
          </w:p>
        </w:tc>
        <w:tc>
          <w:tcPr>
            <w:tcW w:w="879" w:type="pct"/>
            <w:tcBorders>
              <w:tl2br w:val="nil"/>
              <w:tr2bl w:val="nil"/>
            </w:tcBorders>
            <w:shd w:val="clear" w:color="auto" w:fill="auto"/>
            <w:vAlign w:val="center"/>
          </w:tcPr>
          <w:p w14:paraId="7439AFA4">
            <w:pPr>
              <w:widowControl/>
              <w:jc w:val="left"/>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内存扩容</w:t>
            </w:r>
          </w:p>
        </w:tc>
        <w:tc>
          <w:tcPr>
            <w:tcW w:w="2980" w:type="pct"/>
            <w:tcBorders>
              <w:tl2br w:val="nil"/>
              <w:tr2bl w:val="nil"/>
            </w:tcBorders>
            <w:shd w:val="clear" w:color="auto" w:fill="auto"/>
            <w:vAlign w:val="center"/>
          </w:tcPr>
          <w:p w14:paraId="2CD08400">
            <w:pPr>
              <w:widowControl/>
              <w:jc w:val="left"/>
              <w:textAlignment w:val="center"/>
              <w:rPr>
                <w:rFonts w:hint="eastAsia" w:ascii="方正仿宋_GBK" w:hAnsi="方正仿宋_GBK" w:eastAsia="方正仿宋_GBK" w:cs="方正仿宋_GBK"/>
                <w:color w:val="auto"/>
                <w:kern w:val="0"/>
                <w:sz w:val="24"/>
                <w:szCs w:val="24"/>
                <w:lang w:bidi="ar"/>
              </w:rPr>
            </w:pPr>
            <w:r>
              <w:rPr>
                <w:rFonts w:hint="eastAsia" w:ascii="方正仿宋_GBK" w:hAnsi="方正仿宋_GBK" w:eastAsia="方正仿宋_GBK" w:cs="方正仿宋_GBK"/>
                <w:color w:val="auto"/>
                <w:kern w:val="0"/>
                <w:sz w:val="24"/>
                <w:szCs w:val="24"/>
                <w:lang w:bidi="ar"/>
              </w:rPr>
              <w:t>1）在使用单位现有的超融合一体机上扩容≥48条*64G DDR4 内存；</w:t>
            </w:r>
          </w:p>
        </w:tc>
        <w:tc>
          <w:tcPr>
            <w:tcW w:w="359" w:type="pct"/>
            <w:tcBorders>
              <w:tl2br w:val="nil"/>
              <w:tr2bl w:val="nil"/>
            </w:tcBorders>
            <w:shd w:val="clear" w:color="auto" w:fill="auto"/>
            <w:vAlign w:val="center"/>
          </w:tcPr>
          <w:p w14:paraId="34396293">
            <w:pPr>
              <w:widowControl/>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项</w:t>
            </w:r>
          </w:p>
        </w:tc>
        <w:tc>
          <w:tcPr>
            <w:tcW w:w="352" w:type="pct"/>
            <w:tcBorders>
              <w:tl2br w:val="nil"/>
              <w:tr2bl w:val="nil"/>
            </w:tcBorders>
            <w:shd w:val="clear" w:color="auto" w:fill="auto"/>
            <w:vAlign w:val="center"/>
          </w:tcPr>
          <w:p w14:paraId="751832C7">
            <w:pPr>
              <w:widowControl/>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1</w:t>
            </w:r>
          </w:p>
        </w:tc>
      </w:tr>
      <w:tr w14:paraId="74935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30" w:type="pct"/>
            <w:tcBorders>
              <w:tl2br w:val="nil"/>
              <w:tr2bl w:val="nil"/>
            </w:tcBorders>
            <w:shd w:val="clear" w:color="auto" w:fill="auto"/>
            <w:vAlign w:val="center"/>
          </w:tcPr>
          <w:p w14:paraId="248A5434">
            <w:pPr>
              <w:widowControl/>
              <w:jc w:val="center"/>
              <w:textAlignment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3</w:t>
            </w:r>
          </w:p>
        </w:tc>
        <w:tc>
          <w:tcPr>
            <w:tcW w:w="879" w:type="pct"/>
            <w:tcBorders>
              <w:tl2br w:val="nil"/>
              <w:tr2bl w:val="nil"/>
            </w:tcBorders>
            <w:shd w:val="clear" w:color="auto" w:fill="auto"/>
            <w:vAlign w:val="center"/>
          </w:tcPr>
          <w:p w14:paraId="5438F2AA">
            <w:pPr>
              <w:widowControl/>
              <w:jc w:val="left"/>
              <w:textAlignment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硬盘扩容</w:t>
            </w:r>
          </w:p>
        </w:tc>
        <w:tc>
          <w:tcPr>
            <w:tcW w:w="2980" w:type="pct"/>
            <w:tcBorders>
              <w:tl2br w:val="nil"/>
              <w:tr2bl w:val="nil"/>
            </w:tcBorders>
            <w:shd w:val="clear" w:color="auto" w:fill="auto"/>
            <w:vAlign w:val="center"/>
          </w:tcPr>
          <w:p w14:paraId="59623517">
            <w:pPr>
              <w:widowControl/>
              <w:jc w:val="left"/>
              <w:textAlignment w:val="center"/>
              <w:rPr>
                <w:rFonts w:hint="eastAsia" w:ascii="方正仿宋_GBK" w:hAnsi="方正仿宋_GBK" w:eastAsia="方正仿宋_GBK" w:cs="方正仿宋_GBK"/>
                <w:b/>
                <w:color w:val="auto"/>
                <w:kern w:val="0"/>
                <w:sz w:val="24"/>
                <w:szCs w:val="24"/>
                <w:lang w:bidi="ar"/>
              </w:rPr>
            </w:pPr>
            <w:r>
              <w:rPr>
                <w:rFonts w:hint="eastAsia" w:ascii="方正仿宋_GBK" w:hAnsi="方正仿宋_GBK" w:eastAsia="方正仿宋_GBK" w:cs="方正仿宋_GBK"/>
                <w:color w:val="auto"/>
                <w:kern w:val="0"/>
                <w:sz w:val="24"/>
                <w:szCs w:val="24"/>
                <w:lang w:bidi="ar"/>
              </w:rPr>
              <w:t>1）在使用单位现有的服务器上扩容NVME硬盘笼，此次扩容8块≥3.84TB NVMe和对应的硬盘笼；</w:t>
            </w:r>
          </w:p>
        </w:tc>
        <w:tc>
          <w:tcPr>
            <w:tcW w:w="359" w:type="pct"/>
            <w:tcBorders>
              <w:tl2br w:val="nil"/>
              <w:tr2bl w:val="nil"/>
            </w:tcBorders>
            <w:shd w:val="clear" w:color="auto" w:fill="auto"/>
            <w:vAlign w:val="center"/>
          </w:tcPr>
          <w:p w14:paraId="4BD33367">
            <w:pPr>
              <w:widowControl/>
              <w:jc w:val="center"/>
              <w:textAlignment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项</w:t>
            </w:r>
          </w:p>
        </w:tc>
        <w:tc>
          <w:tcPr>
            <w:tcW w:w="352" w:type="pct"/>
            <w:tcBorders>
              <w:tl2br w:val="nil"/>
              <w:tr2bl w:val="nil"/>
            </w:tcBorders>
            <w:shd w:val="clear" w:color="auto" w:fill="auto"/>
            <w:vAlign w:val="center"/>
          </w:tcPr>
          <w:p w14:paraId="234948BE">
            <w:pPr>
              <w:widowControl/>
              <w:jc w:val="center"/>
              <w:textAlignment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1</w:t>
            </w:r>
          </w:p>
        </w:tc>
      </w:tr>
      <w:tr w14:paraId="6E9C2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0" w:type="pct"/>
            <w:tcBorders>
              <w:tl2br w:val="nil"/>
              <w:tr2bl w:val="nil"/>
            </w:tcBorders>
            <w:shd w:val="clear" w:color="auto" w:fill="auto"/>
            <w:vAlign w:val="center"/>
          </w:tcPr>
          <w:p w14:paraId="2DA01E39">
            <w:pPr>
              <w:widowControl/>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4</w:t>
            </w:r>
          </w:p>
        </w:tc>
        <w:tc>
          <w:tcPr>
            <w:tcW w:w="879" w:type="pct"/>
            <w:tcBorders>
              <w:tl2br w:val="nil"/>
              <w:tr2bl w:val="nil"/>
            </w:tcBorders>
            <w:shd w:val="clear" w:color="auto" w:fill="auto"/>
            <w:vAlign w:val="center"/>
          </w:tcPr>
          <w:p w14:paraId="7623B41E">
            <w:pPr>
              <w:widowControl/>
              <w:jc w:val="left"/>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算力服务器</w:t>
            </w:r>
          </w:p>
        </w:tc>
        <w:tc>
          <w:tcPr>
            <w:tcW w:w="2980" w:type="pct"/>
            <w:tcBorders>
              <w:tl2br w:val="nil"/>
              <w:tr2bl w:val="nil"/>
            </w:tcBorders>
            <w:shd w:val="clear" w:color="auto" w:fill="auto"/>
            <w:noWrap/>
            <w:vAlign w:val="center"/>
          </w:tcPr>
          <w:p w14:paraId="5721D7F8">
            <w:pPr>
              <w:widowControl/>
              <w:spacing w:line="276"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1）单台配置：国产CPU≥2颗，单颗CPU主频≥2.7GHz、≥64核；</w:t>
            </w:r>
          </w:p>
          <w:p w14:paraId="0DF8689B">
            <w:pPr>
              <w:widowControl/>
              <w:spacing w:line="276"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2）配置内存≥1024GB DDR5，系统盘≥2*960GB SATA SSD，数据盘≥4*3.84TB NVMe SSD；</w:t>
            </w:r>
          </w:p>
          <w:p w14:paraId="1138E2D9">
            <w:pPr>
              <w:widowControl/>
              <w:spacing w:line="276"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4）配置≥2*双口10GbE网卡（配4个SFP+万兆多模光模块），≥1*4端口GE网卡；</w:t>
            </w:r>
          </w:p>
          <w:p w14:paraId="421F2E9B">
            <w:pPr>
              <w:widowControl/>
              <w:spacing w:line="276" w:lineRule="auto"/>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5）配置≥8张GPU模块，单卡显存容量≥64GB，FP16计算性能≥459 TFlopS，支持FP64；</w:t>
            </w:r>
          </w:p>
        </w:tc>
        <w:tc>
          <w:tcPr>
            <w:tcW w:w="359" w:type="pct"/>
            <w:tcBorders>
              <w:tl2br w:val="nil"/>
              <w:tr2bl w:val="nil"/>
            </w:tcBorders>
            <w:shd w:val="clear" w:color="auto" w:fill="auto"/>
            <w:vAlign w:val="center"/>
          </w:tcPr>
          <w:p w14:paraId="47955C7C">
            <w:pPr>
              <w:widowControl/>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台</w:t>
            </w:r>
          </w:p>
        </w:tc>
        <w:tc>
          <w:tcPr>
            <w:tcW w:w="352" w:type="pct"/>
            <w:tcBorders>
              <w:tl2br w:val="nil"/>
              <w:tr2bl w:val="nil"/>
            </w:tcBorders>
            <w:shd w:val="clear" w:color="auto" w:fill="auto"/>
            <w:vAlign w:val="center"/>
          </w:tcPr>
          <w:p w14:paraId="6A39191C">
            <w:pPr>
              <w:widowControl/>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3</w:t>
            </w:r>
          </w:p>
        </w:tc>
      </w:tr>
      <w:tr w14:paraId="39892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30" w:type="pct"/>
            <w:tcBorders>
              <w:tl2br w:val="nil"/>
              <w:tr2bl w:val="nil"/>
            </w:tcBorders>
            <w:shd w:val="clear" w:color="auto" w:fill="auto"/>
            <w:vAlign w:val="center"/>
          </w:tcPr>
          <w:p w14:paraId="72483282">
            <w:pPr>
              <w:widowControl/>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5</w:t>
            </w:r>
          </w:p>
        </w:tc>
        <w:tc>
          <w:tcPr>
            <w:tcW w:w="879" w:type="pct"/>
            <w:tcBorders>
              <w:tl2br w:val="nil"/>
              <w:tr2bl w:val="nil"/>
            </w:tcBorders>
            <w:shd w:val="clear" w:color="auto" w:fill="auto"/>
            <w:vAlign w:val="center"/>
          </w:tcPr>
          <w:p w14:paraId="498AA32A">
            <w:pPr>
              <w:widowControl/>
              <w:jc w:val="left"/>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心跳交换机（政务外网）</w:t>
            </w:r>
          </w:p>
        </w:tc>
        <w:tc>
          <w:tcPr>
            <w:tcW w:w="2980" w:type="pct"/>
            <w:tcBorders>
              <w:tl2br w:val="nil"/>
              <w:tr2bl w:val="nil"/>
            </w:tcBorders>
            <w:shd w:val="clear" w:color="auto" w:fill="auto"/>
            <w:noWrap/>
            <w:vAlign w:val="center"/>
          </w:tcPr>
          <w:p w14:paraId="008F9F71">
            <w:pPr>
              <w:widowControl/>
              <w:jc w:val="left"/>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sz w:val="24"/>
                <w:szCs w:val="24"/>
              </w:rPr>
              <w:t>1）交换容量≥670Gbps，包转发率≥170Mpps；</w:t>
            </w:r>
            <w:r>
              <w:rPr>
                <w:rFonts w:hint="eastAsia" w:ascii="方正仿宋_GBK" w:hAnsi="方正仿宋_GBK" w:eastAsia="方正仿宋_GBK" w:cs="方正仿宋_GBK"/>
                <w:sz w:val="24"/>
                <w:szCs w:val="24"/>
              </w:rPr>
              <w:br w:type="textWrapping"/>
            </w:r>
            <w:r>
              <w:rPr>
                <w:rFonts w:hint="eastAsia" w:ascii="方正仿宋_GBK" w:hAnsi="方正仿宋_GBK" w:eastAsia="方正仿宋_GBK" w:cs="方正仿宋_GBK"/>
                <w:sz w:val="24"/>
                <w:szCs w:val="24"/>
              </w:rPr>
              <w:t>2）≥24个10/100/1000BASE-T电口，≥4个1/2.5/10GE SFP+端口；</w:t>
            </w:r>
            <w:r>
              <w:rPr>
                <w:rFonts w:hint="eastAsia" w:ascii="方正仿宋_GBK" w:hAnsi="方正仿宋_GBK" w:eastAsia="方正仿宋_GBK" w:cs="方正仿宋_GBK"/>
                <w:sz w:val="24"/>
                <w:szCs w:val="24"/>
              </w:rPr>
              <w:br w:type="textWrapping"/>
            </w:r>
            <w:r>
              <w:rPr>
                <w:rFonts w:hint="eastAsia" w:ascii="方正仿宋_GBK" w:hAnsi="方正仿宋_GBK" w:eastAsia="方正仿宋_GBK" w:cs="方正仿宋_GBK"/>
                <w:sz w:val="24"/>
                <w:szCs w:val="24"/>
              </w:rPr>
              <w:t>3）配置≥2个千兆单模光模块，≥2个千兆多模光模块。</w:t>
            </w:r>
          </w:p>
        </w:tc>
        <w:tc>
          <w:tcPr>
            <w:tcW w:w="359" w:type="pct"/>
            <w:tcBorders>
              <w:tl2br w:val="nil"/>
              <w:tr2bl w:val="nil"/>
            </w:tcBorders>
            <w:shd w:val="clear" w:color="auto" w:fill="auto"/>
            <w:vAlign w:val="center"/>
          </w:tcPr>
          <w:p w14:paraId="0302880A">
            <w:pPr>
              <w:widowControl/>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台</w:t>
            </w:r>
          </w:p>
        </w:tc>
        <w:tc>
          <w:tcPr>
            <w:tcW w:w="352" w:type="pct"/>
            <w:tcBorders>
              <w:tl2br w:val="nil"/>
              <w:tr2bl w:val="nil"/>
            </w:tcBorders>
            <w:shd w:val="clear" w:color="auto" w:fill="auto"/>
            <w:vAlign w:val="center"/>
          </w:tcPr>
          <w:p w14:paraId="3D551CC9">
            <w:pPr>
              <w:widowControl/>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2</w:t>
            </w:r>
          </w:p>
        </w:tc>
      </w:tr>
      <w:tr w14:paraId="20FEF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30" w:type="pct"/>
            <w:tcBorders>
              <w:tl2br w:val="nil"/>
              <w:tr2bl w:val="nil"/>
            </w:tcBorders>
            <w:shd w:val="clear" w:color="auto" w:fill="auto"/>
            <w:vAlign w:val="center"/>
          </w:tcPr>
          <w:p w14:paraId="6293C89A">
            <w:pPr>
              <w:widowControl/>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6</w:t>
            </w:r>
          </w:p>
        </w:tc>
        <w:tc>
          <w:tcPr>
            <w:tcW w:w="879" w:type="pct"/>
            <w:tcBorders>
              <w:tl2br w:val="nil"/>
              <w:tr2bl w:val="nil"/>
            </w:tcBorders>
            <w:shd w:val="clear" w:color="auto" w:fill="auto"/>
            <w:vAlign w:val="center"/>
          </w:tcPr>
          <w:p w14:paraId="3A291A3C">
            <w:pPr>
              <w:widowControl/>
              <w:jc w:val="left"/>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带外管理交换机（政务外网）</w:t>
            </w:r>
          </w:p>
        </w:tc>
        <w:tc>
          <w:tcPr>
            <w:tcW w:w="2980" w:type="pct"/>
            <w:tcBorders>
              <w:tl2br w:val="nil"/>
              <w:tr2bl w:val="nil"/>
            </w:tcBorders>
            <w:shd w:val="clear" w:color="auto" w:fill="auto"/>
            <w:noWrap/>
            <w:vAlign w:val="center"/>
          </w:tcPr>
          <w:p w14:paraId="1A2DD766">
            <w:pPr>
              <w:widowControl/>
              <w:jc w:val="left"/>
              <w:textAlignment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1）交换容量≥670Gbps，包转发率≥200Mpps；</w:t>
            </w:r>
          </w:p>
          <w:p w14:paraId="4B6A437E">
            <w:pPr>
              <w:widowControl/>
              <w:jc w:val="left"/>
              <w:textAlignment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2）≥48个10/100/1000BASE-T电口，≥4个1/2.5/10GE SFP+端口；</w:t>
            </w:r>
          </w:p>
          <w:p w14:paraId="36858B0C">
            <w:pPr>
              <w:widowControl/>
              <w:jc w:val="left"/>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3）配置≥4个万兆多模光模块。</w:t>
            </w:r>
          </w:p>
        </w:tc>
        <w:tc>
          <w:tcPr>
            <w:tcW w:w="359" w:type="pct"/>
            <w:tcBorders>
              <w:tl2br w:val="nil"/>
              <w:tr2bl w:val="nil"/>
            </w:tcBorders>
            <w:shd w:val="clear" w:color="auto" w:fill="auto"/>
            <w:vAlign w:val="center"/>
          </w:tcPr>
          <w:p w14:paraId="485382E7">
            <w:pPr>
              <w:widowControl/>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台</w:t>
            </w:r>
          </w:p>
        </w:tc>
        <w:tc>
          <w:tcPr>
            <w:tcW w:w="352" w:type="pct"/>
            <w:tcBorders>
              <w:tl2br w:val="nil"/>
              <w:tr2bl w:val="nil"/>
            </w:tcBorders>
            <w:shd w:val="clear" w:color="auto" w:fill="auto"/>
            <w:vAlign w:val="center"/>
          </w:tcPr>
          <w:p w14:paraId="4C886E50">
            <w:pPr>
              <w:widowControl/>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1</w:t>
            </w:r>
          </w:p>
        </w:tc>
      </w:tr>
      <w:tr w14:paraId="2CFB7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0" w:type="pct"/>
            <w:tcBorders>
              <w:tl2br w:val="nil"/>
              <w:tr2bl w:val="nil"/>
            </w:tcBorders>
            <w:shd w:val="clear" w:color="auto" w:fill="auto"/>
            <w:vAlign w:val="center"/>
          </w:tcPr>
          <w:p w14:paraId="42AC3D9D">
            <w:pPr>
              <w:widowControl/>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7</w:t>
            </w:r>
          </w:p>
        </w:tc>
        <w:tc>
          <w:tcPr>
            <w:tcW w:w="879" w:type="pct"/>
            <w:tcBorders>
              <w:tl2br w:val="nil"/>
              <w:tr2bl w:val="nil"/>
            </w:tcBorders>
            <w:shd w:val="clear" w:color="auto" w:fill="auto"/>
            <w:vAlign w:val="center"/>
          </w:tcPr>
          <w:p w14:paraId="1381F0F8">
            <w:pPr>
              <w:widowControl/>
              <w:jc w:val="left"/>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Al业务交换机</w:t>
            </w:r>
          </w:p>
        </w:tc>
        <w:tc>
          <w:tcPr>
            <w:tcW w:w="2980" w:type="pct"/>
            <w:tcBorders>
              <w:tl2br w:val="nil"/>
              <w:tr2bl w:val="nil"/>
            </w:tcBorders>
            <w:shd w:val="clear" w:color="auto" w:fill="auto"/>
            <w:noWrap/>
            <w:vAlign w:val="center"/>
          </w:tcPr>
          <w:p w14:paraId="785EF748">
            <w:pPr>
              <w:widowControl/>
              <w:jc w:val="left"/>
              <w:textAlignment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1）交换容量≥4.7Tbps，包转发率≥1900Mpps；</w:t>
            </w:r>
          </w:p>
          <w:p w14:paraId="12ED13F0">
            <w:pPr>
              <w:widowControl/>
              <w:jc w:val="left"/>
              <w:textAlignment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2）≥48个1/10GE SFP+端口，≥6个40/100GE QSFP28端口；</w:t>
            </w:r>
          </w:p>
          <w:p w14:paraId="3482170E">
            <w:pPr>
              <w:widowControl/>
              <w:jc w:val="left"/>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3）配置双电源，≥五风扇框；配置≥24个万兆多模光模块，≥1个40G QSFP+ 5m电缆。</w:t>
            </w:r>
          </w:p>
        </w:tc>
        <w:tc>
          <w:tcPr>
            <w:tcW w:w="359" w:type="pct"/>
            <w:tcBorders>
              <w:tl2br w:val="nil"/>
              <w:tr2bl w:val="nil"/>
            </w:tcBorders>
            <w:shd w:val="clear" w:color="auto" w:fill="auto"/>
            <w:vAlign w:val="center"/>
          </w:tcPr>
          <w:p w14:paraId="5BD51713">
            <w:pPr>
              <w:widowControl/>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台</w:t>
            </w:r>
          </w:p>
        </w:tc>
        <w:tc>
          <w:tcPr>
            <w:tcW w:w="352" w:type="pct"/>
            <w:tcBorders>
              <w:tl2br w:val="nil"/>
              <w:tr2bl w:val="nil"/>
            </w:tcBorders>
            <w:shd w:val="clear" w:color="auto" w:fill="auto"/>
            <w:vAlign w:val="center"/>
          </w:tcPr>
          <w:p w14:paraId="45FEED7B">
            <w:pPr>
              <w:widowControl/>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4</w:t>
            </w:r>
          </w:p>
        </w:tc>
      </w:tr>
      <w:tr w14:paraId="21FC3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30" w:type="pct"/>
            <w:tcBorders>
              <w:tl2br w:val="nil"/>
              <w:tr2bl w:val="nil"/>
            </w:tcBorders>
            <w:shd w:val="clear" w:color="auto" w:fill="auto"/>
            <w:vAlign w:val="center"/>
          </w:tcPr>
          <w:p w14:paraId="52B07E58">
            <w:pPr>
              <w:widowControl/>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8</w:t>
            </w:r>
          </w:p>
        </w:tc>
        <w:tc>
          <w:tcPr>
            <w:tcW w:w="879" w:type="pct"/>
            <w:tcBorders>
              <w:tl2br w:val="nil"/>
              <w:tr2bl w:val="nil"/>
            </w:tcBorders>
            <w:shd w:val="clear" w:color="auto" w:fill="auto"/>
            <w:vAlign w:val="center"/>
          </w:tcPr>
          <w:p w14:paraId="43B3CFDD">
            <w:pPr>
              <w:widowControl/>
              <w:jc w:val="left"/>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SAN交换机单模光模块</w:t>
            </w:r>
          </w:p>
        </w:tc>
        <w:tc>
          <w:tcPr>
            <w:tcW w:w="2980" w:type="pct"/>
            <w:tcBorders>
              <w:tl2br w:val="nil"/>
              <w:tr2bl w:val="nil"/>
            </w:tcBorders>
            <w:shd w:val="clear" w:color="auto" w:fill="auto"/>
            <w:vAlign w:val="center"/>
          </w:tcPr>
          <w:p w14:paraId="03F6C02F">
            <w:pPr>
              <w:widowControl/>
              <w:jc w:val="left"/>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在现有的4台SAN交换机上配置≥8个32Gb 单模光模块。</w:t>
            </w:r>
          </w:p>
        </w:tc>
        <w:tc>
          <w:tcPr>
            <w:tcW w:w="359" w:type="pct"/>
            <w:tcBorders>
              <w:tl2br w:val="nil"/>
              <w:tr2bl w:val="nil"/>
            </w:tcBorders>
            <w:shd w:val="clear" w:color="auto" w:fill="auto"/>
            <w:vAlign w:val="center"/>
          </w:tcPr>
          <w:p w14:paraId="4352AE23">
            <w:pPr>
              <w:widowControl/>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项</w:t>
            </w:r>
          </w:p>
        </w:tc>
        <w:tc>
          <w:tcPr>
            <w:tcW w:w="352" w:type="pct"/>
            <w:tcBorders>
              <w:tl2br w:val="nil"/>
              <w:tr2bl w:val="nil"/>
            </w:tcBorders>
            <w:shd w:val="clear" w:color="auto" w:fill="auto"/>
            <w:vAlign w:val="center"/>
          </w:tcPr>
          <w:p w14:paraId="25CE93F7">
            <w:pPr>
              <w:widowControl/>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1</w:t>
            </w:r>
          </w:p>
        </w:tc>
      </w:tr>
      <w:tr w14:paraId="52ECD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0" w:type="pct"/>
            <w:tcBorders>
              <w:tl2br w:val="nil"/>
              <w:tr2bl w:val="nil"/>
            </w:tcBorders>
            <w:shd w:val="clear" w:color="000000" w:fill="D9D9D9"/>
            <w:noWrap/>
            <w:vAlign w:val="center"/>
          </w:tcPr>
          <w:p w14:paraId="1DD4D062">
            <w:pPr>
              <w:widowControl/>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二</w:t>
            </w:r>
          </w:p>
        </w:tc>
        <w:tc>
          <w:tcPr>
            <w:tcW w:w="879" w:type="pct"/>
            <w:tcBorders>
              <w:tl2br w:val="nil"/>
              <w:tr2bl w:val="nil"/>
            </w:tcBorders>
            <w:shd w:val="clear" w:color="000000" w:fill="D9D9D9"/>
            <w:vAlign w:val="center"/>
          </w:tcPr>
          <w:p w14:paraId="3DB065DA">
            <w:pPr>
              <w:widowControl/>
              <w:jc w:val="left"/>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安全设备建设</w:t>
            </w:r>
          </w:p>
        </w:tc>
        <w:tc>
          <w:tcPr>
            <w:tcW w:w="2980" w:type="pct"/>
            <w:tcBorders>
              <w:tl2br w:val="nil"/>
              <w:tr2bl w:val="nil"/>
            </w:tcBorders>
            <w:shd w:val="clear" w:color="000000" w:fill="D9D9D9"/>
            <w:vAlign w:val="center"/>
          </w:tcPr>
          <w:p w14:paraId="4EC92DB2">
            <w:pPr>
              <w:widowControl/>
              <w:jc w:val="left"/>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kern w:val="0"/>
                <w:sz w:val="24"/>
                <w:szCs w:val="24"/>
                <w:lang w:bidi="ar"/>
              </w:rPr>
              <w:t>　</w:t>
            </w:r>
          </w:p>
        </w:tc>
        <w:tc>
          <w:tcPr>
            <w:tcW w:w="359" w:type="pct"/>
            <w:tcBorders>
              <w:tl2br w:val="nil"/>
              <w:tr2bl w:val="nil"/>
            </w:tcBorders>
            <w:shd w:val="clear" w:color="000000" w:fill="D9D9D9"/>
            <w:vAlign w:val="center"/>
          </w:tcPr>
          <w:p w14:paraId="0972489B">
            <w:pPr>
              <w:widowControl/>
              <w:jc w:val="center"/>
              <w:textAlignment w:val="center"/>
              <w:rPr>
                <w:rFonts w:hint="eastAsia"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kern w:val="0"/>
                <w:sz w:val="24"/>
                <w:szCs w:val="24"/>
                <w:lang w:bidi="ar"/>
              </w:rPr>
              <w:t>　</w:t>
            </w:r>
          </w:p>
        </w:tc>
        <w:tc>
          <w:tcPr>
            <w:tcW w:w="352" w:type="pct"/>
            <w:tcBorders>
              <w:tl2br w:val="nil"/>
              <w:tr2bl w:val="nil"/>
            </w:tcBorders>
            <w:shd w:val="clear" w:color="000000" w:fill="D9D9D9"/>
            <w:vAlign w:val="center"/>
          </w:tcPr>
          <w:p w14:paraId="20248173">
            <w:pPr>
              <w:widowControl/>
              <w:jc w:val="center"/>
              <w:textAlignment w:val="center"/>
              <w:rPr>
                <w:rFonts w:hint="eastAsia"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kern w:val="0"/>
                <w:sz w:val="24"/>
                <w:szCs w:val="24"/>
                <w:lang w:bidi="ar"/>
              </w:rPr>
              <w:t>　</w:t>
            </w:r>
          </w:p>
        </w:tc>
      </w:tr>
      <w:tr w14:paraId="37216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30" w:type="pct"/>
            <w:tcBorders>
              <w:tl2br w:val="nil"/>
              <w:tr2bl w:val="nil"/>
            </w:tcBorders>
            <w:shd w:val="clear" w:color="auto" w:fill="auto"/>
            <w:vAlign w:val="center"/>
          </w:tcPr>
          <w:p w14:paraId="2692E568">
            <w:pPr>
              <w:widowControl/>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1</w:t>
            </w:r>
          </w:p>
        </w:tc>
        <w:tc>
          <w:tcPr>
            <w:tcW w:w="879" w:type="pct"/>
            <w:tcBorders>
              <w:tl2br w:val="nil"/>
              <w:tr2bl w:val="nil"/>
            </w:tcBorders>
            <w:shd w:val="clear" w:color="auto" w:fill="auto"/>
            <w:vAlign w:val="center"/>
          </w:tcPr>
          <w:p w14:paraId="63039E77">
            <w:pPr>
              <w:widowControl/>
              <w:jc w:val="left"/>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出口防火墙（政务外网）</w:t>
            </w:r>
          </w:p>
        </w:tc>
        <w:tc>
          <w:tcPr>
            <w:tcW w:w="2980" w:type="pct"/>
            <w:tcBorders>
              <w:tl2br w:val="nil"/>
              <w:tr2bl w:val="nil"/>
            </w:tcBorders>
            <w:shd w:val="clear" w:color="auto" w:fill="auto"/>
            <w:noWrap/>
            <w:vAlign w:val="center"/>
          </w:tcPr>
          <w:p w14:paraId="0B5CDFEE">
            <w:pPr>
              <w:widowControl/>
              <w:jc w:val="left"/>
              <w:textAlignment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1）网络层吞吐量≥</w:t>
            </w:r>
            <w:r>
              <w:rPr>
                <w:rFonts w:hint="eastAsia" w:ascii="方正仿宋_GBK" w:hAnsi="方正仿宋_GBK" w:eastAsia="方正仿宋_GBK" w:cs="方正仿宋_GBK"/>
                <w:color w:val="000000"/>
                <w:kern w:val="0"/>
                <w:sz w:val="24"/>
                <w:szCs w:val="24"/>
                <w:lang w:val="en-US" w:eastAsia="zh-CN" w:bidi="ar"/>
              </w:rPr>
              <w:t>1</w:t>
            </w:r>
            <w:r>
              <w:rPr>
                <w:rFonts w:hint="eastAsia" w:ascii="方正仿宋_GBK" w:hAnsi="方正仿宋_GBK" w:eastAsia="方正仿宋_GBK" w:cs="方正仿宋_GBK"/>
                <w:color w:val="000000"/>
                <w:kern w:val="0"/>
                <w:sz w:val="24"/>
                <w:szCs w:val="24"/>
                <w:lang w:bidi="ar"/>
              </w:rPr>
              <w:t xml:space="preserve">5Gbps，应用层吞吐量≥9.5Gbps，并发会话数≥490万，每秒新建连接数≥9.8万； </w:t>
            </w:r>
          </w:p>
          <w:p w14:paraId="77FF0522">
            <w:pPr>
              <w:widowControl/>
              <w:jc w:val="left"/>
              <w:textAlignment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2）配置≥15个千兆电接口,≥3个千兆光接口,≥3个万兆光接口,≥4个Combo电接口,≥2个扩展槽位,1个管理接口,2个USB接口,1个Console接口；</w:t>
            </w:r>
          </w:p>
          <w:p w14:paraId="6F6AC9C3">
            <w:pPr>
              <w:widowControl/>
              <w:jc w:val="left"/>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3）配置≥5年入侵防御、防病毒特征库授权。</w:t>
            </w:r>
          </w:p>
        </w:tc>
        <w:tc>
          <w:tcPr>
            <w:tcW w:w="359" w:type="pct"/>
            <w:tcBorders>
              <w:tl2br w:val="nil"/>
              <w:tr2bl w:val="nil"/>
            </w:tcBorders>
            <w:shd w:val="clear" w:color="auto" w:fill="auto"/>
            <w:vAlign w:val="center"/>
          </w:tcPr>
          <w:p w14:paraId="72B94BB4">
            <w:pPr>
              <w:widowControl/>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台</w:t>
            </w:r>
          </w:p>
        </w:tc>
        <w:tc>
          <w:tcPr>
            <w:tcW w:w="352" w:type="pct"/>
            <w:tcBorders>
              <w:tl2br w:val="nil"/>
              <w:tr2bl w:val="nil"/>
            </w:tcBorders>
            <w:shd w:val="clear" w:color="auto" w:fill="auto"/>
            <w:vAlign w:val="center"/>
          </w:tcPr>
          <w:p w14:paraId="09F33B20">
            <w:pPr>
              <w:widowControl/>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1</w:t>
            </w:r>
          </w:p>
        </w:tc>
      </w:tr>
      <w:tr w14:paraId="513DF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30" w:type="pct"/>
            <w:tcBorders>
              <w:tl2br w:val="nil"/>
              <w:tr2bl w:val="nil"/>
            </w:tcBorders>
            <w:shd w:val="clear" w:color="auto" w:fill="auto"/>
            <w:vAlign w:val="center"/>
          </w:tcPr>
          <w:p w14:paraId="09BB8A73">
            <w:pPr>
              <w:widowControl/>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2</w:t>
            </w:r>
          </w:p>
        </w:tc>
        <w:tc>
          <w:tcPr>
            <w:tcW w:w="879" w:type="pct"/>
            <w:tcBorders>
              <w:tl2br w:val="nil"/>
              <w:tr2bl w:val="nil"/>
            </w:tcBorders>
            <w:shd w:val="clear" w:color="auto" w:fill="auto"/>
            <w:vAlign w:val="center"/>
          </w:tcPr>
          <w:p w14:paraId="646E798A">
            <w:pPr>
              <w:widowControl/>
              <w:jc w:val="left"/>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出口边界防火墙（互联网区）</w:t>
            </w:r>
          </w:p>
        </w:tc>
        <w:tc>
          <w:tcPr>
            <w:tcW w:w="2980" w:type="pct"/>
            <w:tcBorders>
              <w:tl2br w:val="nil"/>
              <w:tr2bl w:val="nil"/>
            </w:tcBorders>
            <w:shd w:val="clear" w:color="auto" w:fill="auto"/>
            <w:noWrap/>
            <w:vAlign w:val="center"/>
          </w:tcPr>
          <w:p w14:paraId="69C3A4DE">
            <w:pPr>
              <w:widowControl/>
              <w:jc w:val="left"/>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1）网络层吞吐量≥</w:t>
            </w:r>
            <w:r>
              <w:rPr>
                <w:rFonts w:hint="eastAsia" w:ascii="方正仿宋_GBK" w:hAnsi="方正仿宋_GBK" w:eastAsia="方正仿宋_GBK" w:cs="方正仿宋_GBK"/>
                <w:kern w:val="0"/>
                <w:sz w:val="24"/>
                <w:szCs w:val="24"/>
                <w:lang w:val="en-US" w:eastAsia="zh-CN" w:bidi="ar"/>
              </w:rPr>
              <w:t>1</w:t>
            </w:r>
            <w:r>
              <w:rPr>
                <w:rFonts w:hint="eastAsia" w:ascii="方正仿宋_GBK" w:hAnsi="方正仿宋_GBK" w:eastAsia="方正仿宋_GBK" w:cs="方正仿宋_GBK"/>
                <w:kern w:val="0"/>
                <w:sz w:val="24"/>
                <w:szCs w:val="24"/>
                <w:lang w:bidi="ar"/>
              </w:rPr>
              <w:t xml:space="preserve">5Gbps，应用层吞吐量≥9.6Gbps，并发会话数≥490万，每秒新建连接数≥9.8万； </w:t>
            </w:r>
          </w:p>
          <w:p w14:paraId="6A0255B9">
            <w:pPr>
              <w:widowControl/>
              <w:jc w:val="left"/>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2）配置≥15个千兆电接口,≥3个千兆光接口,≥6个万兆光接口,≥4个Combo电接口,≥2个扩展槽位,1个管理接口,2个USB接口,1个Console接口；</w:t>
            </w:r>
          </w:p>
          <w:p w14:paraId="4EF16CEA">
            <w:pPr>
              <w:widowControl/>
              <w:jc w:val="left"/>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3）配置≥2*1.92TB SSD硬盘，≥5年入侵防御、防病毒特征库授权。</w:t>
            </w:r>
          </w:p>
        </w:tc>
        <w:tc>
          <w:tcPr>
            <w:tcW w:w="359" w:type="pct"/>
            <w:tcBorders>
              <w:tl2br w:val="nil"/>
              <w:tr2bl w:val="nil"/>
            </w:tcBorders>
            <w:shd w:val="clear" w:color="auto" w:fill="auto"/>
            <w:vAlign w:val="center"/>
          </w:tcPr>
          <w:p w14:paraId="1754DA2A">
            <w:pPr>
              <w:widowControl/>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台</w:t>
            </w:r>
          </w:p>
        </w:tc>
        <w:tc>
          <w:tcPr>
            <w:tcW w:w="352" w:type="pct"/>
            <w:tcBorders>
              <w:tl2br w:val="nil"/>
              <w:tr2bl w:val="nil"/>
            </w:tcBorders>
            <w:shd w:val="clear" w:color="auto" w:fill="auto"/>
            <w:vAlign w:val="center"/>
          </w:tcPr>
          <w:p w14:paraId="28C36B29">
            <w:pPr>
              <w:widowControl/>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1</w:t>
            </w:r>
          </w:p>
        </w:tc>
      </w:tr>
      <w:tr w14:paraId="0BE25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30" w:type="pct"/>
            <w:tcBorders>
              <w:tl2br w:val="nil"/>
              <w:tr2bl w:val="nil"/>
            </w:tcBorders>
            <w:shd w:val="clear" w:color="auto" w:fill="auto"/>
            <w:vAlign w:val="center"/>
          </w:tcPr>
          <w:p w14:paraId="3CEC5900">
            <w:pPr>
              <w:widowControl/>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3</w:t>
            </w:r>
          </w:p>
        </w:tc>
        <w:tc>
          <w:tcPr>
            <w:tcW w:w="879" w:type="pct"/>
            <w:tcBorders>
              <w:tl2br w:val="nil"/>
              <w:tr2bl w:val="nil"/>
            </w:tcBorders>
            <w:shd w:val="clear" w:color="auto" w:fill="auto"/>
            <w:vAlign w:val="center"/>
          </w:tcPr>
          <w:p w14:paraId="7DF7A2B6">
            <w:pPr>
              <w:widowControl/>
              <w:jc w:val="left"/>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服务器区边界防火墙（政务外网）</w:t>
            </w:r>
          </w:p>
        </w:tc>
        <w:tc>
          <w:tcPr>
            <w:tcW w:w="2980" w:type="pct"/>
            <w:tcBorders>
              <w:tl2br w:val="nil"/>
              <w:tr2bl w:val="nil"/>
            </w:tcBorders>
            <w:shd w:val="clear" w:color="auto" w:fill="auto"/>
            <w:noWrap/>
            <w:vAlign w:val="center"/>
          </w:tcPr>
          <w:p w14:paraId="05A20D72">
            <w:pPr>
              <w:widowControl/>
              <w:jc w:val="left"/>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1）网络层吞吐量≥29Gbps，并发连接数≥1500万，每秒新建连接数≥49万；</w:t>
            </w:r>
          </w:p>
          <w:p w14:paraId="433AFA09">
            <w:pPr>
              <w:widowControl/>
              <w:jc w:val="left"/>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2）配置≥6个千兆电接口,≥6个万兆光接口,1个管理接口,2个USB接口,1个Console接口,≥5个扩展槽位；</w:t>
            </w:r>
          </w:p>
          <w:p w14:paraId="71059B98">
            <w:pPr>
              <w:widowControl/>
              <w:jc w:val="left"/>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3）≥5年WAF特征库升级授权，冗余电源。</w:t>
            </w:r>
          </w:p>
        </w:tc>
        <w:tc>
          <w:tcPr>
            <w:tcW w:w="359" w:type="pct"/>
            <w:tcBorders>
              <w:tl2br w:val="nil"/>
              <w:tr2bl w:val="nil"/>
            </w:tcBorders>
            <w:shd w:val="clear" w:color="auto" w:fill="auto"/>
            <w:vAlign w:val="center"/>
          </w:tcPr>
          <w:p w14:paraId="1C8E7ABA">
            <w:pPr>
              <w:widowControl/>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台</w:t>
            </w:r>
          </w:p>
        </w:tc>
        <w:tc>
          <w:tcPr>
            <w:tcW w:w="352" w:type="pct"/>
            <w:tcBorders>
              <w:tl2br w:val="nil"/>
              <w:tr2bl w:val="nil"/>
            </w:tcBorders>
            <w:shd w:val="clear" w:color="auto" w:fill="auto"/>
            <w:vAlign w:val="center"/>
          </w:tcPr>
          <w:p w14:paraId="44F8B136">
            <w:pPr>
              <w:widowControl/>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2</w:t>
            </w:r>
          </w:p>
        </w:tc>
      </w:tr>
      <w:tr w14:paraId="6ADF2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30" w:type="pct"/>
            <w:tcBorders>
              <w:tl2br w:val="nil"/>
              <w:tr2bl w:val="nil"/>
            </w:tcBorders>
            <w:shd w:val="clear" w:color="auto" w:fill="auto"/>
            <w:vAlign w:val="center"/>
          </w:tcPr>
          <w:p w14:paraId="7CC5E920">
            <w:pPr>
              <w:widowControl/>
              <w:jc w:val="center"/>
              <w:textAlignment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4</w:t>
            </w:r>
          </w:p>
        </w:tc>
        <w:tc>
          <w:tcPr>
            <w:tcW w:w="879" w:type="pct"/>
            <w:tcBorders>
              <w:tl2br w:val="nil"/>
              <w:tr2bl w:val="nil"/>
            </w:tcBorders>
            <w:shd w:val="clear" w:color="auto" w:fill="auto"/>
            <w:vAlign w:val="center"/>
          </w:tcPr>
          <w:p w14:paraId="1AA13B75">
            <w:pPr>
              <w:widowControl/>
              <w:jc w:val="left"/>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数据访问管控平台</w:t>
            </w:r>
          </w:p>
        </w:tc>
        <w:tc>
          <w:tcPr>
            <w:tcW w:w="2980" w:type="pct"/>
            <w:tcBorders>
              <w:tl2br w:val="nil"/>
              <w:tr2bl w:val="nil"/>
            </w:tcBorders>
            <w:shd w:val="clear" w:color="auto" w:fill="auto"/>
            <w:noWrap/>
            <w:vAlign w:val="center"/>
          </w:tcPr>
          <w:p w14:paraId="50909CF9">
            <w:pPr>
              <w:widowControl/>
              <w:jc w:val="left"/>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1）纯数据库流量≥40Mbps,SQL峰值吞吐量≥4000条/秒,在线会话≥1500个；</w:t>
            </w:r>
          </w:p>
        </w:tc>
        <w:tc>
          <w:tcPr>
            <w:tcW w:w="359" w:type="pct"/>
            <w:tcBorders>
              <w:tl2br w:val="nil"/>
              <w:tr2bl w:val="nil"/>
            </w:tcBorders>
            <w:shd w:val="clear" w:color="auto" w:fill="auto"/>
            <w:vAlign w:val="center"/>
          </w:tcPr>
          <w:p w14:paraId="0CF064FC">
            <w:pPr>
              <w:widowControl/>
              <w:jc w:val="center"/>
              <w:textAlignment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1</w:t>
            </w:r>
          </w:p>
        </w:tc>
        <w:tc>
          <w:tcPr>
            <w:tcW w:w="352" w:type="pct"/>
            <w:tcBorders>
              <w:tl2br w:val="nil"/>
              <w:tr2bl w:val="nil"/>
            </w:tcBorders>
            <w:shd w:val="clear" w:color="auto" w:fill="auto"/>
            <w:vAlign w:val="center"/>
          </w:tcPr>
          <w:p w14:paraId="4FC93C84">
            <w:pPr>
              <w:widowControl/>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套</w:t>
            </w:r>
          </w:p>
        </w:tc>
      </w:tr>
      <w:tr w14:paraId="6E41F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30" w:type="pct"/>
            <w:tcBorders>
              <w:tl2br w:val="nil"/>
              <w:tr2bl w:val="nil"/>
            </w:tcBorders>
            <w:shd w:val="clear" w:color="000000" w:fill="D9D9D9"/>
            <w:noWrap/>
            <w:vAlign w:val="center"/>
          </w:tcPr>
          <w:p w14:paraId="74EB68D1">
            <w:pPr>
              <w:widowControl/>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三</w:t>
            </w:r>
          </w:p>
        </w:tc>
        <w:tc>
          <w:tcPr>
            <w:tcW w:w="879" w:type="pct"/>
            <w:tcBorders>
              <w:tl2br w:val="nil"/>
              <w:tr2bl w:val="nil"/>
            </w:tcBorders>
            <w:shd w:val="clear" w:color="000000" w:fill="D9D9D9"/>
            <w:vAlign w:val="center"/>
          </w:tcPr>
          <w:p w14:paraId="5CBDF1C1">
            <w:pPr>
              <w:widowControl/>
              <w:jc w:val="left"/>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系统软件及运维平台授权扩容</w:t>
            </w:r>
          </w:p>
        </w:tc>
        <w:tc>
          <w:tcPr>
            <w:tcW w:w="2980" w:type="pct"/>
            <w:tcBorders>
              <w:tl2br w:val="nil"/>
              <w:tr2bl w:val="nil"/>
            </w:tcBorders>
            <w:shd w:val="clear" w:color="000000" w:fill="D9D9D9"/>
            <w:vAlign w:val="center"/>
          </w:tcPr>
          <w:p w14:paraId="32ED874F">
            <w:pPr>
              <w:widowControl/>
              <w:jc w:val="left"/>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kern w:val="0"/>
                <w:sz w:val="24"/>
                <w:szCs w:val="24"/>
                <w:lang w:bidi="ar"/>
              </w:rPr>
              <w:t>　</w:t>
            </w:r>
          </w:p>
        </w:tc>
        <w:tc>
          <w:tcPr>
            <w:tcW w:w="359" w:type="pct"/>
            <w:tcBorders>
              <w:tl2br w:val="nil"/>
              <w:tr2bl w:val="nil"/>
            </w:tcBorders>
            <w:shd w:val="clear" w:color="000000" w:fill="D9D9D9"/>
            <w:vAlign w:val="center"/>
          </w:tcPr>
          <w:p w14:paraId="64AF70F4">
            <w:pPr>
              <w:widowControl/>
              <w:jc w:val="center"/>
              <w:textAlignment w:val="center"/>
              <w:rPr>
                <w:rFonts w:hint="eastAsia"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kern w:val="0"/>
                <w:sz w:val="24"/>
                <w:szCs w:val="24"/>
                <w:lang w:bidi="ar"/>
              </w:rPr>
              <w:t>　</w:t>
            </w:r>
          </w:p>
        </w:tc>
        <w:tc>
          <w:tcPr>
            <w:tcW w:w="352" w:type="pct"/>
            <w:tcBorders>
              <w:tl2br w:val="nil"/>
              <w:tr2bl w:val="nil"/>
            </w:tcBorders>
            <w:shd w:val="clear" w:color="000000" w:fill="D9D9D9"/>
            <w:vAlign w:val="center"/>
          </w:tcPr>
          <w:p w14:paraId="2C4A6CCA">
            <w:pPr>
              <w:widowControl/>
              <w:jc w:val="center"/>
              <w:textAlignment w:val="center"/>
              <w:rPr>
                <w:rFonts w:hint="eastAsia"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kern w:val="0"/>
                <w:sz w:val="24"/>
                <w:szCs w:val="24"/>
                <w:lang w:bidi="ar"/>
              </w:rPr>
              <w:t>　</w:t>
            </w:r>
          </w:p>
        </w:tc>
      </w:tr>
      <w:tr w14:paraId="5BFFB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30" w:type="pct"/>
            <w:tcBorders>
              <w:tl2br w:val="nil"/>
              <w:tr2bl w:val="nil"/>
            </w:tcBorders>
            <w:shd w:val="clear" w:color="auto" w:fill="auto"/>
            <w:vAlign w:val="center"/>
          </w:tcPr>
          <w:p w14:paraId="0D6E98D6">
            <w:pPr>
              <w:widowControl/>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1</w:t>
            </w:r>
          </w:p>
        </w:tc>
        <w:tc>
          <w:tcPr>
            <w:tcW w:w="879" w:type="pct"/>
            <w:tcBorders>
              <w:tl2br w:val="nil"/>
              <w:tr2bl w:val="nil"/>
            </w:tcBorders>
            <w:shd w:val="clear" w:color="auto" w:fill="auto"/>
            <w:vAlign w:val="center"/>
          </w:tcPr>
          <w:p w14:paraId="6D3E7F88">
            <w:pPr>
              <w:widowControl/>
              <w:jc w:val="left"/>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授权扩容-一体化运维管理系统</w:t>
            </w:r>
          </w:p>
        </w:tc>
        <w:tc>
          <w:tcPr>
            <w:tcW w:w="2980" w:type="pct"/>
            <w:tcBorders>
              <w:tl2br w:val="nil"/>
              <w:tr2bl w:val="nil"/>
            </w:tcBorders>
            <w:shd w:val="clear" w:color="auto" w:fill="auto"/>
            <w:vAlign w:val="center"/>
          </w:tcPr>
          <w:p w14:paraId="551511EE">
            <w:pPr>
              <w:widowControl/>
              <w:jc w:val="left"/>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在现有一体化运维管理系统基础上，扩容以下授权：</w:t>
            </w:r>
          </w:p>
          <w:p w14:paraId="152E3A4C">
            <w:pPr>
              <w:widowControl/>
              <w:jc w:val="left"/>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1)网络设备管理≥50 License;</w:t>
            </w:r>
          </w:p>
          <w:p w14:paraId="65E4D164">
            <w:pPr>
              <w:widowControl/>
              <w:jc w:val="left"/>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2)智能分析报表授权函。</w:t>
            </w:r>
          </w:p>
        </w:tc>
        <w:tc>
          <w:tcPr>
            <w:tcW w:w="359" w:type="pct"/>
            <w:tcBorders>
              <w:tl2br w:val="nil"/>
              <w:tr2bl w:val="nil"/>
            </w:tcBorders>
            <w:shd w:val="clear" w:color="auto" w:fill="auto"/>
            <w:vAlign w:val="center"/>
          </w:tcPr>
          <w:p w14:paraId="34219D2F">
            <w:pPr>
              <w:widowControl/>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项</w:t>
            </w:r>
          </w:p>
        </w:tc>
        <w:tc>
          <w:tcPr>
            <w:tcW w:w="352" w:type="pct"/>
            <w:tcBorders>
              <w:tl2br w:val="nil"/>
              <w:tr2bl w:val="nil"/>
            </w:tcBorders>
            <w:shd w:val="clear" w:color="auto" w:fill="auto"/>
            <w:vAlign w:val="center"/>
          </w:tcPr>
          <w:p w14:paraId="61A58D07">
            <w:pPr>
              <w:widowControl/>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1</w:t>
            </w:r>
          </w:p>
        </w:tc>
      </w:tr>
      <w:tr w14:paraId="1490E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430" w:type="pct"/>
            <w:tcBorders>
              <w:tl2br w:val="nil"/>
              <w:tr2bl w:val="nil"/>
            </w:tcBorders>
            <w:shd w:val="clear" w:color="auto" w:fill="auto"/>
            <w:vAlign w:val="center"/>
          </w:tcPr>
          <w:p w14:paraId="1145C039">
            <w:pPr>
              <w:widowControl/>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2</w:t>
            </w:r>
          </w:p>
        </w:tc>
        <w:tc>
          <w:tcPr>
            <w:tcW w:w="879" w:type="pct"/>
            <w:tcBorders>
              <w:tl2br w:val="nil"/>
              <w:tr2bl w:val="nil"/>
            </w:tcBorders>
            <w:shd w:val="clear" w:color="auto" w:fill="auto"/>
            <w:vAlign w:val="center"/>
          </w:tcPr>
          <w:p w14:paraId="43FE28AA">
            <w:pPr>
              <w:widowControl/>
              <w:jc w:val="left"/>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操作系统/数据库</w:t>
            </w:r>
          </w:p>
        </w:tc>
        <w:tc>
          <w:tcPr>
            <w:tcW w:w="2980" w:type="pct"/>
            <w:tcBorders>
              <w:tl2br w:val="nil"/>
              <w:tr2bl w:val="nil"/>
            </w:tcBorders>
            <w:shd w:val="clear" w:color="auto" w:fill="auto"/>
            <w:vAlign w:val="center"/>
          </w:tcPr>
          <w:p w14:paraId="68BBC4DA">
            <w:pPr>
              <w:widowControl/>
              <w:jc w:val="left"/>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提供本项目涉及业务系统对应所需的信创服务器操作系统及信创数据库，满足采购单位软件安装需求。</w:t>
            </w:r>
          </w:p>
        </w:tc>
        <w:tc>
          <w:tcPr>
            <w:tcW w:w="359" w:type="pct"/>
            <w:tcBorders>
              <w:tl2br w:val="nil"/>
              <w:tr2bl w:val="nil"/>
            </w:tcBorders>
            <w:shd w:val="clear" w:color="auto" w:fill="auto"/>
            <w:vAlign w:val="center"/>
          </w:tcPr>
          <w:p w14:paraId="58FC8D31">
            <w:pPr>
              <w:widowControl/>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批</w:t>
            </w:r>
          </w:p>
        </w:tc>
        <w:tc>
          <w:tcPr>
            <w:tcW w:w="352" w:type="pct"/>
            <w:tcBorders>
              <w:tl2br w:val="nil"/>
              <w:tr2bl w:val="nil"/>
            </w:tcBorders>
            <w:shd w:val="clear" w:color="auto" w:fill="auto"/>
            <w:vAlign w:val="center"/>
          </w:tcPr>
          <w:p w14:paraId="52D1D6B6">
            <w:pPr>
              <w:widowControl/>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1</w:t>
            </w:r>
          </w:p>
        </w:tc>
      </w:tr>
      <w:tr w14:paraId="1DC93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0" w:type="pct"/>
            <w:tcBorders>
              <w:tl2br w:val="nil"/>
              <w:tr2bl w:val="nil"/>
            </w:tcBorders>
            <w:shd w:val="clear" w:color="000000" w:fill="D9D9D9"/>
            <w:noWrap/>
            <w:vAlign w:val="center"/>
          </w:tcPr>
          <w:p w14:paraId="3B19E74E">
            <w:pPr>
              <w:widowControl/>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四</w:t>
            </w:r>
          </w:p>
        </w:tc>
        <w:tc>
          <w:tcPr>
            <w:tcW w:w="879" w:type="pct"/>
            <w:tcBorders>
              <w:tl2br w:val="nil"/>
              <w:tr2bl w:val="nil"/>
            </w:tcBorders>
            <w:shd w:val="clear" w:color="000000" w:fill="D9D9D9"/>
            <w:vAlign w:val="center"/>
          </w:tcPr>
          <w:p w14:paraId="1D11AA34">
            <w:pPr>
              <w:widowControl/>
              <w:jc w:val="left"/>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设备托管服务</w:t>
            </w:r>
          </w:p>
        </w:tc>
        <w:tc>
          <w:tcPr>
            <w:tcW w:w="2980" w:type="pct"/>
            <w:tcBorders>
              <w:tl2br w:val="nil"/>
              <w:tr2bl w:val="nil"/>
            </w:tcBorders>
            <w:shd w:val="clear" w:color="000000" w:fill="D9D9D9"/>
            <w:vAlign w:val="center"/>
          </w:tcPr>
          <w:p w14:paraId="7495F03E">
            <w:pPr>
              <w:widowControl/>
              <w:jc w:val="left"/>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　</w:t>
            </w:r>
          </w:p>
        </w:tc>
        <w:tc>
          <w:tcPr>
            <w:tcW w:w="359" w:type="pct"/>
            <w:tcBorders>
              <w:tl2br w:val="nil"/>
              <w:tr2bl w:val="nil"/>
            </w:tcBorders>
            <w:shd w:val="clear" w:color="000000" w:fill="D9D9D9"/>
            <w:vAlign w:val="center"/>
          </w:tcPr>
          <w:p w14:paraId="224E807A">
            <w:pPr>
              <w:widowControl/>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　</w:t>
            </w:r>
          </w:p>
        </w:tc>
        <w:tc>
          <w:tcPr>
            <w:tcW w:w="352" w:type="pct"/>
            <w:tcBorders>
              <w:tl2br w:val="nil"/>
              <w:tr2bl w:val="nil"/>
            </w:tcBorders>
            <w:shd w:val="clear" w:color="000000" w:fill="D9D9D9"/>
            <w:vAlign w:val="center"/>
          </w:tcPr>
          <w:p w14:paraId="44B4357A">
            <w:pPr>
              <w:widowControl/>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　</w:t>
            </w:r>
          </w:p>
        </w:tc>
      </w:tr>
      <w:tr w14:paraId="5A3FA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430" w:type="pct"/>
            <w:tcBorders>
              <w:tl2br w:val="nil"/>
              <w:tr2bl w:val="nil"/>
            </w:tcBorders>
            <w:shd w:val="clear" w:color="auto" w:fill="auto"/>
            <w:vAlign w:val="center"/>
          </w:tcPr>
          <w:p w14:paraId="040BBA9C">
            <w:pPr>
              <w:widowControl/>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1</w:t>
            </w:r>
          </w:p>
        </w:tc>
        <w:tc>
          <w:tcPr>
            <w:tcW w:w="879" w:type="pct"/>
            <w:tcBorders>
              <w:tl2br w:val="nil"/>
              <w:tr2bl w:val="nil"/>
            </w:tcBorders>
            <w:shd w:val="clear" w:color="auto" w:fill="auto"/>
            <w:vAlign w:val="center"/>
          </w:tcPr>
          <w:p w14:paraId="6555C721">
            <w:pPr>
              <w:widowControl/>
              <w:jc w:val="left"/>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设备托管服务</w:t>
            </w:r>
          </w:p>
        </w:tc>
        <w:tc>
          <w:tcPr>
            <w:tcW w:w="2980" w:type="pct"/>
            <w:tcBorders>
              <w:tl2br w:val="nil"/>
              <w:tr2bl w:val="nil"/>
            </w:tcBorders>
            <w:shd w:val="clear" w:color="auto" w:fill="auto"/>
            <w:vAlign w:val="center"/>
          </w:tcPr>
          <w:p w14:paraId="1F161DC3">
            <w:pPr>
              <w:widowControl/>
              <w:jc w:val="left"/>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1）提供本项目所有设备的5年托管服务，相关费用由中标方承担；</w:t>
            </w:r>
          </w:p>
          <w:p w14:paraId="2EDF557F">
            <w:pPr>
              <w:widowControl/>
              <w:jc w:val="left"/>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2）机房环境：提供国密电子门禁、国密视频监控系统等机房租赁环境。</w:t>
            </w:r>
          </w:p>
        </w:tc>
        <w:tc>
          <w:tcPr>
            <w:tcW w:w="359" w:type="pct"/>
            <w:tcBorders>
              <w:tl2br w:val="nil"/>
              <w:tr2bl w:val="nil"/>
            </w:tcBorders>
            <w:shd w:val="clear" w:color="auto" w:fill="auto"/>
            <w:vAlign w:val="center"/>
          </w:tcPr>
          <w:p w14:paraId="02A45A58">
            <w:pPr>
              <w:widowControl/>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项</w:t>
            </w:r>
          </w:p>
        </w:tc>
        <w:tc>
          <w:tcPr>
            <w:tcW w:w="352" w:type="pct"/>
            <w:tcBorders>
              <w:tl2br w:val="nil"/>
              <w:tr2bl w:val="nil"/>
            </w:tcBorders>
            <w:shd w:val="clear" w:color="auto" w:fill="auto"/>
            <w:vAlign w:val="center"/>
          </w:tcPr>
          <w:p w14:paraId="043C9E31">
            <w:pPr>
              <w:widowControl/>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1</w:t>
            </w:r>
          </w:p>
        </w:tc>
      </w:tr>
    </w:tbl>
    <w:p w14:paraId="27A98E3D">
      <w:pPr>
        <w:pStyle w:val="26"/>
        <w:jc w:val="both"/>
        <w:rPr>
          <w:rFonts w:hint="eastAsia" w:ascii="仿宋_GB2312" w:hAnsi="宋体" w:eastAsia="仿宋_GB2312" w:cs="Times New Roman"/>
          <w:color w:val="FF0000"/>
          <w:kern w:val="2"/>
          <w:sz w:val="24"/>
          <w:szCs w:val="31"/>
          <w:lang w:val="en-US" w:eastAsia="zh-CN" w:bidi="ar-SA"/>
        </w:rPr>
      </w:pPr>
    </w:p>
    <w:p w14:paraId="0008BD55">
      <w:pPr>
        <w:widowControl/>
        <w:tabs>
          <w:tab w:val="left" w:pos="840"/>
          <w:tab w:val="left" w:pos="945"/>
          <w:tab w:val="left" w:pos="1050"/>
        </w:tabs>
        <w:spacing w:line="360" w:lineRule="auto"/>
        <w:ind w:firstLine="480" w:firstLineChars="200"/>
        <w:rPr>
          <w:rFonts w:hint="eastAsia" w:ascii="仿宋_GB2312" w:hAnsi="宋体" w:eastAsia="仿宋_GB2312"/>
          <w:sz w:val="24"/>
        </w:rPr>
      </w:pPr>
      <w:r>
        <w:rPr>
          <w:rFonts w:hint="eastAsia" w:ascii="仿宋_GB2312" w:hAnsi="宋体" w:eastAsia="仿宋_GB2312" w:cs="宋体"/>
          <w:kern w:val="0"/>
          <w:sz w:val="24"/>
        </w:rPr>
        <w:t>三、</w:t>
      </w:r>
      <w:r>
        <w:rPr>
          <w:rFonts w:hint="eastAsia" w:ascii="仿宋_GB2312" w:hAnsi="宋体" w:eastAsia="仿宋_GB2312"/>
          <w:sz w:val="24"/>
        </w:rPr>
        <w:t>被询价人的资格要求：</w:t>
      </w:r>
      <w:r>
        <w:rPr>
          <w:rFonts w:hint="eastAsia" w:ascii="仿宋_GB2312" w:eastAsia="仿宋_GB2312"/>
          <w:sz w:val="24"/>
        </w:rPr>
        <w:t>符合《中华人民共和国政府采购法》第二十二条、二十四条及本询价文件规定条件的供应商。</w:t>
      </w:r>
    </w:p>
    <w:p w14:paraId="0B91FD07">
      <w:pPr>
        <w:widowControl/>
        <w:spacing w:line="360" w:lineRule="auto"/>
        <w:ind w:firstLine="480" w:firstLineChars="200"/>
        <w:jc w:val="left"/>
        <w:rPr>
          <w:rFonts w:hint="eastAsia" w:ascii="仿宋_GB2312" w:hAnsi="宋体" w:eastAsia="仿宋_GB2312"/>
          <w:sz w:val="24"/>
        </w:rPr>
      </w:pPr>
      <w:r>
        <w:rPr>
          <w:rFonts w:hint="eastAsia" w:ascii="仿宋_GB2312" w:hAnsi="宋体" w:eastAsia="仿宋_GB2312"/>
          <w:sz w:val="24"/>
        </w:rPr>
        <w:t>四、报价</w:t>
      </w:r>
    </w:p>
    <w:p w14:paraId="51040E6B">
      <w:pPr>
        <w:spacing w:line="360" w:lineRule="auto"/>
        <w:ind w:firstLine="480" w:firstLineChars="200"/>
        <w:jc w:val="left"/>
        <w:rPr>
          <w:rFonts w:hint="eastAsia" w:ascii="仿宋_GB2312" w:hAnsi="宋体" w:eastAsia="仿宋_GB2312"/>
          <w:sz w:val="24"/>
        </w:rPr>
      </w:pPr>
      <w:r>
        <w:rPr>
          <w:rFonts w:hint="eastAsia" w:ascii="仿宋_GB2312" w:hAnsi="宋体" w:eastAsia="仿宋_GB2312"/>
          <w:sz w:val="24"/>
        </w:rPr>
        <w:t>1.1报价以人民币为结算货币。</w:t>
      </w:r>
    </w:p>
    <w:p w14:paraId="095EE076">
      <w:pPr>
        <w:spacing w:line="360" w:lineRule="auto"/>
        <w:ind w:firstLine="480" w:firstLineChars="200"/>
        <w:jc w:val="left"/>
        <w:rPr>
          <w:rFonts w:hint="eastAsia" w:ascii="仿宋_GB2312" w:hAnsi="宋体" w:eastAsia="仿宋_GB2312"/>
          <w:sz w:val="24"/>
        </w:rPr>
      </w:pPr>
      <w:r>
        <w:rPr>
          <w:rFonts w:hint="eastAsia" w:ascii="仿宋_GB2312" w:hAnsi="宋体" w:eastAsia="仿宋_GB2312"/>
          <w:sz w:val="24"/>
        </w:rPr>
        <w:t>1.2报价为包含税价、货物运送、人工等费用；</w:t>
      </w:r>
    </w:p>
    <w:p w14:paraId="14A0644D">
      <w:pPr>
        <w:autoSpaceDE w:val="0"/>
        <w:autoSpaceDN w:val="0"/>
        <w:adjustRightInd w:val="0"/>
        <w:spacing w:line="360" w:lineRule="auto"/>
        <w:ind w:firstLine="480" w:firstLineChars="200"/>
        <w:jc w:val="left"/>
        <w:rPr>
          <w:rFonts w:hint="eastAsia" w:ascii="仿宋_GB2312" w:hAnsi="宋体" w:eastAsia="仿宋_GB2312"/>
          <w:sz w:val="24"/>
        </w:rPr>
      </w:pPr>
      <w:r>
        <w:rPr>
          <w:rFonts w:hint="eastAsia" w:ascii="仿宋_GB2312" w:hAnsi="宋体" w:eastAsia="仿宋_GB2312"/>
          <w:sz w:val="24"/>
        </w:rPr>
        <w:t>1.3被询价人应慎重合理确定利润，自主报价，不得盲目压价，低于成本恶性竞争。</w:t>
      </w:r>
    </w:p>
    <w:p w14:paraId="487DB2AC">
      <w:pPr>
        <w:autoSpaceDE w:val="0"/>
        <w:autoSpaceDN w:val="0"/>
        <w:adjustRightInd w:val="0"/>
        <w:spacing w:line="360" w:lineRule="auto"/>
        <w:ind w:firstLine="480" w:firstLineChars="200"/>
        <w:jc w:val="left"/>
        <w:rPr>
          <w:rFonts w:hint="eastAsia" w:ascii="仿宋_GB2312" w:hAnsi="宋体" w:eastAsia="仿宋_GB2312"/>
          <w:sz w:val="24"/>
        </w:rPr>
      </w:pPr>
      <w:r>
        <w:rPr>
          <w:rFonts w:hint="eastAsia" w:ascii="仿宋_GB2312" w:hAnsi="宋体" w:eastAsia="仿宋_GB2312"/>
          <w:sz w:val="24"/>
        </w:rPr>
        <w:t>1.4报价总金额到元为止。</w:t>
      </w:r>
    </w:p>
    <w:p w14:paraId="43EBAC6B">
      <w:pPr>
        <w:autoSpaceDE w:val="0"/>
        <w:autoSpaceDN w:val="0"/>
        <w:adjustRightInd w:val="0"/>
        <w:spacing w:line="360" w:lineRule="auto"/>
        <w:ind w:firstLine="480" w:firstLineChars="200"/>
        <w:jc w:val="left"/>
        <w:rPr>
          <w:rFonts w:hint="eastAsia" w:ascii="仿宋_GB2312" w:hAnsi="宋体" w:eastAsia="仿宋_GB2312"/>
          <w:sz w:val="24"/>
        </w:rPr>
      </w:pPr>
      <w:r>
        <w:rPr>
          <w:rFonts w:hint="eastAsia" w:ascii="仿宋_GB2312" w:hAnsi="宋体" w:eastAsia="仿宋_GB2312"/>
          <w:sz w:val="24"/>
        </w:rPr>
        <w:t>1.5各报价单位可以根据情况选择合同包报价，所报总价为：预算数量×单价。</w:t>
      </w:r>
    </w:p>
    <w:p w14:paraId="4D39E13C">
      <w:pPr>
        <w:pStyle w:val="2"/>
        <w:tabs>
          <w:tab w:val="left" w:pos="8668"/>
        </w:tabs>
        <w:snapToGrid w:val="0"/>
        <w:spacing w:line="360" w:lineRule="auto"/>
        <w:ind w:firstLine="480"/>
        <w:rPr>
          <w:rFonts w:hint="eastAsia" w:ascii="仿宋_GB2312" w:hAnsi="宋体" w:eastAsia="仿宋_GB2312" w:cs="宋体"/>
          <w:kern w:val="0"/>
          <w:sz w:val="24"/>
        </w:rPr>
      </w:pPr>
      <w:r>
        <w:rPr>
          <w:rFonts w:hint="eastAsia" w:ascii="仿宋_GB2312" w:hAnsi="宋体" w:eastAsia="仿宋_GB2312"/>
          <w:sz w:val="24"/>
        </w:rPr>
        <w:t>五、</w:t>
      </w:r>
      <w:r>
        <w:rPr>
          <w:rFonts w:hint="eastAsia" w:ascii="仿宋_GB2312" w:hAnsi="宋体" w:eastAsia="仿宋_GB2312" w:cs="宋体"/>
          <w:kern w:val="0"/>
          <w:sz w:val="24"/>
        </w:rPr>
        <w:t xml:space="preserve"> 报价书的递交</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 xml:space="preserve">    报价书递交的截止时间（投标截止时间）：</w:t>
      </w:r>
      <w:r>
        <w:rPr>
          <w:rFonts w:hint="eastAsia" w:ascii="仿宋_GB2312" w:hAnsi="宋体" w:eastAsia="仿宋_GB2312" w:cs="宋体"/>
          <w:color w:val="FF0000"/>
          <w:kern w:val="0"/>
          <w:sz w:val="24"/>
        </w:rPr>
        <w:t>202</w:t>
      </w:r>
      <w:r>
        <w:rPr>
          <w:rFonts w:hint="eastAsia" w:ascii="仿宋_GB2312" w:hAnsi="宋体" w:cs="宋体"/>
          <w:color w:val="FF0000"/>
          <w:kern w:val="0"/>
          <w:sz w:val="24"/>
          <w:lang w:val="en-US" w:eastAsia="zh-CN"/>
        </w:rPr>
        <w:t>6</w:t>
      </w:r>
      <w:r>
        <w:rPr>
          <w:rFonts w:hint="eastAsia" w:ascii="仿宋_GB2312" w:hAnsi="宋体" w:eastAsia="仿宋_GB2312" w:cs="宋体"/>
          <w:color w:val="FF0000"/>
          <w:kern w:val="0"/>
          <w:sz w:val="24"/>
        </w:rPr>
        <w:t>年</w:t>
      </w:r>
      <w:r>
        <w:rPr>
          <w:rFonts w:hint="eastAsia" w:ascii="仿宋_GB2312" w:cs="宋体"/>
          <w:color w:val="FF0000"/>
          <w:kern w:val="0"/>
          <w:sz w:val="24"/>
          <w:lang w:val="en-US" w:eastAsia="zh-CN"/>
        </w:rPr>
        <w:t>4</w:t>
      </w:r>
      <w:r>
        <w:rPr>
          <w:rFonts w:hint="eastAsia" w:ascii="仿宋_GB2312" w:hAnsi="宋体" w:eastAsia="仿宋_GB2312" w:cs="宋体"/>
          <w:color w:val="FF0000"/>
          <w:kern w:val="0"/>
          <w:sz w:val="24"/>
        </w:rPr>
        <w:t>月</w:t>
      </w:r>
      <w:r>
        <w:rPr>
          <w:rFonts w:hint="eastAsia" w:ascii="仿宋_GB2312" w:cs="宋体"/>
          <w:color w:val="FF0000"/>
          <w:kern w:val="0"/>
          <w:sz w:val="24"/>
          <w:lang w:val="en-US" w:eastAsia="zh-CN"/>
        </w:rPr>
        <w:t>11</w:t>
      </w:r>
      <w:r>
        <w:rPr>
          <w:rFonts w:hint="eastAsia" w:ascii="仿宋_GB2312" w:hAnsi="宋体" w:eastAsia="仿宋_GB2312" w:cs="宋体"/>
          <w:color w:val="FF0000"/>
          <w:kern w:val="0"/>
          <w:sz w:val="24"/>
        </w:rPr>
        <w:t>日</w:t>
      </w:r>
      <w:r>
        <w:rPr>
          <w:rFonts w:hint="eastAsia" w:ascii="仿宋_GB2312" w:cs="宋体"/>
          <w:color w:val="FF0000"/>
          <w:kern w:val="0"/>
          <w:sz w:val="24"/>
          <w:lang w:val="en-US" w:eastAsia="zh-CN"/>
        </w:rPr>
        <w:t>23</w:t>
      </w:r>
      <w:r>
        <w:rPr>
          <w:rFonts w:hint="eastAsia" w:ascii="仿宋_GB2312" w:hAnsi="宋体" w:eastAsia="仿宋_GB2312" w:cs="宋体"/>
          <w:color w:val="FF0000"/>
          <w:kern w:val="0"/>
          <w:sz w:val="24"/>
        </w:rPr>
        <w:t>时</w:t>
      </w:r>
      <w:r>
        <w:rPr>
          <w:rFonts w:hint="eastAsia" w:ascii="仿宋_GB2312" w:cs="宋体"/>
          <w:color w:val="FF0000"/>
          <w:kern w:val="0"/>
          <w:sz w:val="24"/>
          <w:lang w:val="en-US" w:eastAsia="zh-CN"/>
        </w:rPr>
        <w:t>59</w:t>
      </w:r>
      <w:r>
        <w:rPr>
          <w:rFonts w:hint="eastAsia" w:ascii="仿宋_GB2312" w:hAnsi="宋体" w:eastAsia="仿宋_GB2312" w:cs="宋体"/>
          <w:color w:val="FF0000"/>
          <w:kern w:val="0"/>
          <w:sz w:val="24"/>
        </w:rPr>
        <w:t>分</w:t>
      </w:r>
      <w:r>
        <w:rPr>
          <w:rFonts w:hint="eastAsia" w:ascii="仿宋_GB2312" w:hAnsi="宋体" w:eastAsia="仿宋_GB2312" w:cs="宋体"/>
          <w:kern w:val="0"/>
          <w:sz w:val="24"/>
        </w:rPr>
        <w:t>，提交地点为三明市第一医院信息科（市图书馆A座18层软件运维室）；报价书要求密封包装并加盖单位公章，邮寄或当面递交。</w:t>
      </w:r>
    </w:p>
    <w:p w14:paraId="0BDE4B7F">
      <w:pPr>
        <w:widowControl/>
        <w:tabs>
          <w:tab w:val="left" w:pos="510"/>
          <w:tab w:val="left" w:pos="900"/>
          <w:tab w:val="left" w:pos="1100"/>
        </w:tabs>
        <w:spacing w:line="360" w:lineRule="auto"/>
        <w:jc w:val="left"/>
        <w:rPr>
          <w:rFonts w:hint="eastAsia" w:ascii="仿宋_GB2312" w:hAnsi="宋体" w:eastAsia="仿宋_GB2312"/>
          <w:i/>
          <w:sz w:val="24"/>
        </w:rPr>
      </w:pPr>
      <w:r>
        <w:rPr>
          <w:rFonts w:hint="eastAsia" w:ascii="仿宋_GB2312" w:hAnsi="宋体" w:eastAsia="仿宋_GB2312" w:cs="宋体"/>
          <w:kern w:val="0"/>
          <w:sz w:val="24"/>
        </w:rPr>
        <w:t xml:space="preserve"> </w:t>
      </w:r>
      <w:r>
        <w:rPr>
          <w:rFonts w:hint="eastAsia" w:ascii="仿宋_GB2312" w:hAnsi="宋体" w:eastAsia="仿宋_GB2312"/>
          <w:sz w:val="24"/>
          <w:szCs w:val="20"/>
        </w:rPr>
        <w:t xml:space="preserve">   六、联系方式</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 xml:space="preserve">      询价人：三明市第一医院</w:t>
      </w:r>
    </w:p>
    <w:p w14:paraId="10C866BC">
      <w:pPr>
        <w:pStyle w:val="2"/>
        <w:tabs>
          <w:tab w:val="left" w:pos="8668"/>
        </w:tabs>
        <w:snapToGrid w:val="0"/>
        <w:spacing w:line="360" w:lineRule="auto"/>
        <w:ind w:firstLine="780" w:firstLineChars="325"/>
        <w:rPr>
          <w:rFonts w:hint="eastAsia" w:ascii="仿宋_GB2312" w:hAnsi="宋体" w:eastAsia="仿宋_GB2312" w:cs="宋体"/>
          <w:kern w:val="0"/>
          <w:sz w:val="24"/>
        </w:rPr>
      </w:pPr>
      <w:r>
        <w:rPr>
          <w:rFonts w:hint="eastAsia" w:ascii="仿宋_GB2312" w:hAnsi="宋体" w:eastAsia="仿宋_GB2312" w:cs="宋体"/>
          <w:kern w:val="0"/>
          <w:sz w:val="24"/>
        </w:rPr>
        <w:t>地址：三明市第一医院信息科（市图书馆A座18层软件运维室）</w:t>
      </w:r>
    </w:p>
    <w:p w14:paraId="00D7D24E">
      <w:pPr>
        <w:pStyle w:val="2"/>
        <w:tabs>
          <w:tab w:val="left" w:pos="8668"/>
        </w:tabs>
        <w:snapToGrid w:val="0"/>
        <w:spacing w:line="360" w:lineRule="auto"/>
        <w:ind w:firstLine="840" w:firstLineChars="350"/>
        <w:rPr>
          <w:rFonts w:hint="default" w:ascii="仿宋_GB2312" w:eastAsia="仿宋_GB2312" w:cs="宋体"/>
          <w:kern w:val="0"/>
          <w:sz w:val="24"/>
          <w:lang w:val="en-US"/>
        </w:rPr>
      </w:pPr>
      <w:r>
        <w:rPr>
          <w:rFonts w:hint="eastAsia" w:ascii="仿宋_GB2312" w:eastAsia="仿宋_GB2312" w:cs="宋体"/>
          <w:kern w:val="0"/>
          <w:sz w:val="24"/>
        </w:rPr>
        <w:t>邮编：365001；电话：</w:t>
      </w:r>
      <w:r>
        <w:rPr>
          <w:rFonts w:hint="eastAsia" w:ascii="仿宋_GB2312" w:eastAsia="仿宋_GB2312"/>
          <w:sz w:val="24"/>
        </w:rPr>
        <w:t>0598-</w:t>
      </w:r>
      <w:r>
        <w:rPr>
          <w:rFonts w:hint="eastAsia" w:ascii="仿宋_GB2312" w:eastAsia="仿宋_GB2312"/>
          <w:sz w:val="24"/>
          <w:lang w:val="en-US" w:eastAsia="zh-CN"/>
        </w:rPr>
        <w:t>517</w:t>
      </w:r>
      <w:r>
        <w:rPr>
          <w:rFonts w:hint="eastAsia" w:ascii="仿宋_GB2312" w:eastAsia="仿宋_GB2312"/>
          <w:sz w:val="24"/>
        </w:rPr>
        <w:t>3950</w:t>
      </w:r>
      <w:r>
        <w:rPr>
          <w:rFonts w:hint="eastAsia" w:ascii="仿宋_GB2312" w:eastAsia="仿宋_GB2312" w:cs="宋体"/>
          <w:kern w:val="0"/>
          <w:sz w:val="24"/>
        </w:rPr>
        <w:t xml:space="preserve">  </w:t>
      </w:r>
      <w:r>
        <w:rPr>
          <w:rFonts w:hint="eastAsia" w:ascii="仿宋_GB2312" w:hAnsi="宋体" w:eastAsia="仿宋_GB2312" w:cs="宋体"/>
          <w:kern w:val="0"/>
          <w:sz w:val="24"/>
        </w:rPr>
        <w:t>联系人：</w:t>
      </w:r>
      <w:bookmarkEnd w:id="0"/>
      <w:bookmarkEnd w:id="1"/>
      <w:r>
        <w:rPr>
          <w:rFonts w:hint="eastAsia" w:ascii="仿宋_GB2312" w:cs="宋体"/>
          <w:kern w:val="0"/>
          <w:sz w:val="24"/>
          <w:lang w:val="en-US" w:eastAsia="zh-CN"/>
        </w:rPr>
        <w:t>郑孝敏</w:t>
      </w:r>
    </w:p>
    <w:p w14:paraId="65E7001A">
      <w:pPr>
        <w:pStyle w:val="2"/>
        <w:tabs>
          <w:tab w:val="left" w:pos="8668"/>
        </w:tabs>
        <w:snapToGrid w:val="0"/>
        <w:spacing w:line="360" w:lineRule="auto"/>
        <w:ind w:firstLine="840" w:firstLineChars="350"/>
        <w:rPr>
          <w:rFonts w:hint="eastAsia" w:ascii="仿宋_GB2312" w:eastAsia="仿宋_GB2312" w:cs="宋体"/>
          <w:kern w:val="0"/>
          <w:sz w:val="24"/>
        </w:rPr>
      </w:pPr>
    </w:p>
    <w:p w14:paraId="741241E2">
      <w:pPr>
        <w:pStyle w:val="25"/>
        <w:jc w:val="both"/>
        <w:rPr>
          <w:rFonts w:hint="eastAsia" w:ascii="仿宋_GB2312" w:hAnsi="宋体" w:eastAsia="仿宋_GB2312"/>
          <w:b/>
          <w:sz w:val="36"/>
        </w:rPr>
      </w:pPr>
    </w:p>
    <w:p w14:paraId="7525ADC6">
      <w:pPr>
        <w:pStyle w:val="25"/>
        <w:jc w:val="center"/>
        <w:rPr>
          <w:rFonts w:hint="eastAsia" w:ascii="仿宋_GB2312" w:hAnsi="宋体" w:eastAsia="仿宋_GB2312"/>
          <w:b/>
          <w:sz w:val="36"/>
        </w:rPr>
      </w:pPr>
    </w:p>
    <w:p w14:paraId="2DFB5EA1">
      <w:pPr>
        <w:pStyle w:val="25"/>
        <w:jc w:val="center"/>
        <w:rPr>
          <w:rFonts w:hint="eastAsia" w:ascii="仿宋_GB2312" w:hAnsi="宋体" w:eastAsia="仿宋_GB2312"/>
          <w:b/>
          <w:sz w:val="36"/>
        </w:rPr>
      </w:pPr>
      <w:r>
        <w:rPr>
          <w:rFonts w:hint="eastAsia" w:ascii="仿宋_GB2312" w:hAnsi="宋体" w:eastAsia="仿宋_GB2312"/>
          <w:b/>
          <w:sz w:val="36"/>
        </w:rPr>
        <w:t>第二章  报  价  书</w:t>
      </w:r>
    </w:p>
    <w:p w14:paraId="7EF8F08F">
      <w:pPr>
        <w:spacing w:line="380" w:lineRule="exact"/>
        <w:rPr>
          <w:rFonts w:hint="eastAsia" w:ascii="仿宋_GB2312" w:hAnsi="宋体" w:eastAsia="仿宋_GB2312"/>
          <w:sz w:val="24"/>
        </w:rPr>
      </w:pPr>
    </w:p>
    <w:p w14:paraId="0DE9204D">
      <w:pPr>
        <w:spacing w:line="380" w:lineRule="exact"/>
        <w:rPr>
          <w:rFonts w:hint="eastAsia"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 xml:space="preserve">               </w:t>
      </w:r>
    </w:p>
    <w:p w14:paraId="2A985C39">
      <w:pPr>
        <w:spacing w:line="380" w:lineRule="exact"/>
        <w:rPr>
          <w:rFonts w:hint="eastAsia" w:ascii="仿宋_GB2312" w:hAnsi="宋体" w:eastAsia="仿宋_GB2312"/>
          <w:sz w:val="24"/>
        </w:rPr>
      </w:pPr>
    </w:p>
    <w:p w14:paraId="3DFDF9B4">
      <w:pPr>
        <w:spacing w:line="380" w:lineRule="exact"/>
        <w:rPr>
          <w:rFonts w:hint="eastAsia" w:ascii="仿宋_GB2312" w:hAnsi="宋体" w:eastAsia="仿宋_GB2312"/>
          <w:sz w:val="24"/>
        </w:rPr>
      </w:pPr>
      <w:r>
        <w:rPr>
          <w:rFonts w:hint="eastAsia" w:ascii="仿宋_GB2312" w:hAnsi="宋体" w:eastAsia="仿宋_GB2312"/>
          <w:sz w:val="24"/>
        </w:rPr>
        <w:t xml:space="preserve">    根据贵方为 </w:t>
      </w:r>
      <w:r>
        <w:rPr>
          <w:rFonts w:hint="eastAsia" w:ascii="仿宋_GB2312" w:hAnsi="宋体" w:eastAsia="仿宋_GB2312"/>
          <w:sz w:val="24"/>
          <w:u w:val="single"/>
        </w:rPr>
        <w:t xml:space="preserve">     </w:t>
      </w:r>
      <w:r>
        <w:rPr>
          <w:rFonts w:hint="eastAsia" w:ascii="仿宋_GB2312" w:hAnsi="宋体" w:eastAsia="仿宋_GB2312"/>
          <w:sz w:val="24"/>
        </w:rPr>
        <w:t>项目的询价函，本签字代表（全名、职务）正式授权并代表被询价人提交下述报价：</w:t>
      </w:r>
    </w:p>
    <w:p w14:paraId="76CABA3F">
      <w:pPr>
        <w:spacing w:line="380" w:lineRule="exact"/>
        <w:rPr>
          <w:rFonts w:hint="eastAsia" w:ascii="仿宋_GB2312" w:hAnsi="宋体" w:eastAsia="仿宋_GB2312"/>
          <w:sz w:val="24"/>
        </w:rPr>
      </w:pPr>
      <w:r>
        <w:rPr>
          <w:rFonts w:hint="eastAsia" w:ascii="仿宋_GB2312" w:hAnsi="宋体" w:eastAsia="仿宋_GB2312"/>
          <w:sz w:val="24"/>
        </w:rPr>
        <w:t xml:space="preserve">  据此函，签字代表宣布同意如下：</w:t>
      </w:r>
    </w:p>
    <w:p w14:paraId="38596690">
      <w:pPr>
        <w:spacing w:line="380" w:lineRule="exact"/>
        <w:rPr>
          <w:rFonts w:hint="eastAsia" w:ascii="仿宋_GB2312" w:hAnsi="宋体" w:eastAsia="仿宋_GB2312"/>
          <w:sz w:val="24"/>
        </w:rPr>
      </w:pPr>
      <w:r>
        <w:rPr>
          <w:rFonts w:hint="eastAsia" w:ascii="仿宋_GB2312" w:hAnsi="宋体" w:eastAsia="仿宋_GB2312"/>
          <w:sz w:val="24"/>
        </w:rPr>
        <w:t xml:space="preserve">    1.所附询价文件中规定的应提供的货物（服务）</w:t>
      </w:r>
      <w:r>
        <w:rPr>
          <w:rFonts w:hint="eastAsia" w:ascii="仿宋_GB2312" w:hAnsi="宋体" w:eastAsia="仿宋_GB2312"/>
          <w:sz w:val="24"/>
          <w:u w:val="single"/>
        </w:rPr>
        <w:t xml:space="preserve">         </w:t>
      </w:r>
      <w:r>
        <w:rPr>
          <w:rFonts w:hint="eastAsia" w:ascii="仿宋_GB2312" w:hAnsi="宋体" w:eastAsia="仿宋_GB2312"/>
          <w:sz w:val="24"/>
        </w:rPr>
        <w:t xml:space="preserve">合同包报价总价为人民币 </w:t>
      </w:r>
      <w:r>
        <w:rPr>
          <w:rFonts w:hint="eastAsia" w:ascii="仿宋_GB2312" w:hAnsi="宋体" w:eastAsia="仿宋_GB2312"/>
          <w:sz w:val="24"/>
          <w:u w:val="single"/>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rPr>
        <w:t>（中文表述）。</w:t>
      </w:r>
    </w:p>
    <w:p w14:paraId="35F9A667">
      <w:pPr>
        <w:spacing w:line="380" w:lineRule="exact"/>
        <w:ind w:firstLine="480" w:firstLineChars="200"/>
        <w:rPr>
          <w:rFonts w:hint="eastAsia" w:ascii="仿宋_GB2312" w:hAnsi="宋体" w:eastAsia="仿宋_GB2312"/>
          <w:sz w:val="24"/>
        </w:rPr>
      </w:pPr>
      <w:r>
        <w:rPr>
          <w:rFonts w:hint="eastAsia" w:ascii="仿宋_GB2312" w:hAnsi="宋体" w:eastAsia="仿宋_GB2312"/>
          <w:sz w:val="24"/>
        </w:rPr>
        <w:t>1.被询价人已详细审查全部询价文件，将自行承担因对全部询价文件理解不正确或误解而产生的相应后果。</w:t>
      </w:r>
    </w:p>
    <w:p w14:paraId="2A3DF435">
      <w:pPr>
        <w:spacing w:line="380" w:lineRule="exact"/>
        <w:rPr>
          <w:rFonts w:hint="eastAsia" w:ascii="仿宋_GB2312" w:hAnsi="宋体" w:eastAsia="仿宋_GB2312"/>
          <w:sz w:val="24"/>
        </w:rPr>
      </w:pPr>
      <w:r>
        <w:rPr>
          <w:rFonts w:hint="eastAsia" w:ascii="仿宋_GB2312" w:hAnsi="宋体" w:eastAsia="仿宋_GB2312"/>
          <w:sz w:val="24"/>
        </w:rPr>
        <w:t xml:space="preserve">    2.被询价人保证遵守询价文件的全部规定，被询价人所提交的材料中所含的信息均为真实、准确、完整，且不具有任何误导性。</w:t>
      </w:r>
    </w:p>
    <w:p w14:paraId="5E02E301">
      <w:pPr>
        <w:spacing w:line="380" w:lineRule="exact"/>
        <w:rPr>
          <w:rFonts w:hint="eastAsia" w:ascii="仿宋_GB2312" w:hAnsi="宋体" w:eastAsia="仿宋_GB2312"/>
          <w:sz w:val="24"/>
        </w:rPr>
      </w:pPr>
      <w:r>
        <w:rPr>
          <w:rFonts w:hint="eastAsia" w:ascii="仿宋_GB2312" w:hAnsi="宋体" w:eastAsia="仿宋_GB2312"/>
          <w:sz w:val="24"/>
        </w:rPr>
        <w:t xml:space="preserve">    3、被询价人已经过现场踏勘，明确了解全部施工范围和施工内容，明确被询价人的全部权利和义务。</w:t>
      </w:r>
    </w:p>
    <w:p w14:paraId="73CEC9D8">
      <w:pPr>
        <w:spacing w:line="380" w:lineRule="exact"/>
        <w:ind w:firstLine="480" w:firstLineChars="200"/>
        <w:rPr>
          <w:rFonts w:hint="eastAsia" w:ascii="仿宋_GB2312" w:hAnsi="宋体" w:eastAsia="仿宋_GB2312"/>
          <w:sz w:val="24"/>
        </w:rPr>
      </w:pPr>
      <w:r>
        <w:rPr>
          <w:rFonts w:hint="eastAsia" w:ascii="仿宋_GB2312" w:hAnsi="宋体" w:eastAsia="仿宋_GB2312"/>
          <w:sz w:val="24"/>
        </w:rPr>
        <w:t>4. 与本询价有关的一切正式往来通讯请寄：</w:t>
      </w:r>
    </w:p>
    <w:p w14:paraId="03777532">
      <w:pPr>
        <w:spacing w:line="380" w:lineRule="exact"/>
        <w:rPr>
          <w:rFonts w:hint="eastAsia"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14:paraId="376F6DC3">
      <w:pPr>
        <w:spacing w:line="380" w:lineRule="exact"/>
        <w:rPr>
          <w:rFonts w:hint="eastAsia"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14:paraId="135E5727">
      <w:pPr>
        <w:spacing w:line="380" w:lineRule="exact"/>
        <w:rPr>
          <w:rFonts w:hint="eastAsia" w:ascii="仿宋_GB2312" w:hAnsi="宋体" w:eastAsia="仿宋_GB2312"/>
          <w:sz w:val="24"/>
          <w:u w:val="single"/>
        </w:rPr>
      </w:pPr>
      <w:r>
        <w:rPr>
          <w:rFonts w:hint="eastAsia" w:ascii="仿宋_GB2312" w:hAnsi="宋体" w:eastAsia="仿宋_GB2312"/>
          <w:sz w:val="24"/>
        </w:rPr>
        <w:t xml:space="preserve">     被询价人代表签字： </w:t>
      </w:r>
      <w:r>
        <w:rPr>
          <w:rFonts w:hint="eastAsia" w:ascii="仿宋_GB2312" w:hAnsi="宋体" w:eastAsia="仿宋_GB2312"/>
          <w:sz w:val="24"/>
          <w:u w:val="single"/>
        </w:rPr>
        <w:t xml:space="preserve">                </w:t>
      </w:r>
    </w:p>
    <w:p w14:paraId="44D01C17">
      <w:pPr>
        <w:spacing w:line="380" w:lineRule="exact"/>
        <w:rPr>
          <w:rFonts w:hint="eastAsia" w:ascii="仿宋_GB2312" w:hAnsi="宋体" w:eastAsia="仿宋_GB2312"/>
          <w:sz w:val="24"/>
        </w:rPr>
      </w:pPr>
      <w:r>
        <w:rPr>
          <w:rFonts w:hint="eastAsia" w:ascii="仿宋_GB2312" w:hAnsi="宋体" w:eastAsia="仿宋_GB2312"/>
          <w:sz w:val="24"/>
        </w:rPr>
        <w:t xml:space="preserve">     被询价人（全称并加盖公章）：</w:t>
      </w:r>
      <w:r>
        <w:rPr>
          <w:rFonts w:hint="eastAsia" w:ascii="仿宋_GB2312" w:hAnsi="宋体" w:eastAsia="仿宋_GB2312"/>
          <w:sz w:val="24"/>
          <w:u w:val="single"/>
        </w:rPr>
        <w:t xml:space="preserve">                       </w:t>
      </w:r>
    </w:p>
    <w:p w14:paraId="00EBE61D">
      <w:pPr>
        <w:tabs>
          <w:tab w:val="center" w:pos="900"/>
          <w:tab w:val="center" w:pos="1080"/>
        </w:tabs>
        <w:spacing w:line="360" w:lineRule="auto"/>
        <w:ind w:firstLine="435"/>
        <w:rPr>
          <w:rFonts w:hint="eastAsia" w:ascii="仿宋_GB2312" w:hAnsi="宋体" w:eastAsia="仿宋_GB2312"/>
          <w:sz w:val="24"/>
        </w:rPr>
      </w:pPr>
      <w:r>
        <w:rPr>
          <w:rFonts w:hint="eastAsia" w:ascii="仿宋_GB2312" w:hAnsi="宋体" w:eastAsia="仿宋_GB2312"/>
          <w:sz w:val="24"/>
        </w:rPr>
        <w:t xml:space="preserve">                                </w:t>
      </w:r>
      <w:bookmarkStart w:id="3" w:name="_GoBack"/>
      <w:bookmarkEnd w:id="3"/>
    </w:p>
    <w:p w14:paraId="52772381">
      <w:pPr>
        <w:tabs>
          <w:tab w:val="center" w:pos="900"/>
          <w:tab w:val="center" w:pos="1080"/>
        </w:tabs>
        <w:spacing w:line="360" w:lineRule="auto"/>
        <w:ind w:firstLine="435"/>
        <w:rPr>
          <w:rFonts w:hint="eastAsia" w:ascii="仿宋_GB2312" w:hAnsi="宋体" w:eastAsia="仿宋_GB2312"/>
          <w:sz w:val="24"/>
        </w:rPr>
      </w:pPr>
    </w:p>
    <w:p w14:paraId="65EA5286">
      <w:pPr>
        <w:tabs>
          <w:tab w:val="center" w:pos="900"/>
          <w:tab w:val="center" w:pos="1080"/>
        </w:tabs>
        <w:spacing w:line="360" w:lineRule="auto"/>
        <w:ind w:firstLine="4560" w:firstLineChars="1900"/>
        <w:rPr>
          <w:rFonts w:ascii="宋体" w:hAnsi="宋体" w:cs="宋体"/>
          <w:bCs/>
          <w:kern w:val="0"/>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w:t>
      </w:r>
    </w:p>
    <w:p w14:paraId="481D31FD">
      <w:pPr>
        <w:pStyle w:val="3"/>
        <w:rPr>
          <w:rFonts w:hint="eastAsia" w:ascii="宋体" w:hAnsi="宋体" w:cs="宋体"/>
          <w:kern w:val="0"/>
          <w:sz w:val="28"/>
          <w:szCs w:val="28"/>
        </w:rPr>
      </w:pPr>
    </w:p>
    <w:p w14:paraId="3A14C939">
      <w:pPr>
        <w:spacing w:line="600" w:lineRule="exact"/>
        <w:rPr>
          <w:sz w:val="28"/>
          <w:szCs w:val="28"/>
        </w:rPr>
      </w:pPr>
    </w:p>
    <w:p w14:paraId="6CBA7739">
      <w:pPr>
        <w:jc w:val="left"/>
      </w:pPr>
    </w:p>
    <w:sectPr>
      <w:footerReference r:id="rId6" w:type="default"/>
      <w:footerReference r:id="rId7" w:type="even"/>
      <w:pgSz w:w="11906" w:h="16838"/>
      <w:pgMar w:top="1440" w:right="1800" w:bottom="1440" w:left="1800" w:header="851" w:footer="992" w:gutter="0"/>
      <w:cols w:space="425" w:num="1"/>
      <w:docGrid w:type="lines" w:linePitch="4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 w:name="微软雅黑">
    <w:panose1 w:val="020B0503020204020204"/>
    <w:charset w:val="86"/>
    <w:family w:val="swiss"/>
    <w:pitch w:val="default"/>
    <w:sig w:usb0="80000287" w:usb1="280F3C52" w:usb2="00000016" w:usb3="00000000" w:csb0="0004001F" w:csb1="00000000"/>
  </w:font>
  <w:font w:name="___WRD_EMBED_SUB_47">
    <w:altName w:val="宋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PSEMBED2">
    <w:panose1 w:val="02000000000000000000"/>
    <w:charset w:val="86"/>
    <w:family w:val="auto"/>
    <w:pitch w:val="default"/>
    <w:sig w:usb0="A00002BF" w:usb1="184F6CFA" w:usb2="00000012"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151F4">
    <w:pPr>
      <w:pStyle w:val="8"/>
      <w:jc w:val="center"/>
    </w:pPr>
    <w:r>
      <w:rPr>
        <w:rFonts w:hint="eastAsia"/>
      </w:rPr>
      <w:t>第</w:t>
    </w:r>
    <w:r>
      <w:fldChar w:fldCharType="begin"/>
    </w:r>
    <w:r>
      <w:rPr>
        <w:rStyle w:val="16"/>
      </w:rPr>
      <w:instrText xml:space="preserve"> PAGE </w:instrText>
    </w:r>
    <w:r>
      <w:fldChar w:fldCharType="separate"/>
    </w:r>
    <w:r>
      <w:rPr>
        <w:rStyle w:val="16"/>
      </w:rPr>
      <w:t>5</w:t>
    </w:r>
    <w:r>
      <w:fldChar w:fldCharType="end"/>
    </w:r>
    <w:r>
      <w:rPr>
        <w:rFonts w:hint="eastAsia"/>
      </w:rPr>
      <w:t xml:space="preserve">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6896D">
    <w:pPr>
      <w:pStyle w:val="8"/>
      <w:framePr w:wrap="around" w:vAnchor="text" w:hAnchor="margin" w:xAlign="center" w:y="1"/>
      <w:rPr>
        <w:rStyle w:val="16"/>
      </w:rPr>
    </w:pPr>
    <w:r>
      <w:fldChar w:fldCharType="begin"/>
    </w:r>
    <w:r>
      <w:rPr>
        <w:rStyle w:val="16"/>
      </w:rPr>
      <w:instrText xml:space="preserve">PAGE  </w:instrText>
    </w:r>
    <w:r>
      <w:fldChar w:fldCharType="separate"/>
    </w:r>
    <w:r>
      <w:fldChar w:fldCharType="end"/>
    </w:r>
  </w:p>
  <w:p w14:paraId="2A8CBB50">
    <w:pPr>
      <w:pStyle w:val="8"/>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E7D7B">
    <w:pPr>
      <w:pStyle w:val="8"/>
      <w:jc w:val="center"/>
    </w:pPr>
    <w:r>
      <w:fldChar w:fldCharType="begin"/>
    </w:r>
    <w:r>
      <w:rPr>
        <w:rStyle w:val="16"/>
      </w:rPr>
      <w:instrText xml:space="preserve"> PAGE </w:instrText>
    </w:r>
    <w:r>
      <w:fldChar w:fldCharType="separate"/>
    </w:r>
    <w:r>
      <w:rPr>
        <w:rStyle w:val="16"/>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B81C1">
    <w:pPr>
      <w:pStyle w:val="8"/>
      <w:framePr w:wrap="around" w:vAnchor="text" w:hAnchor="margin" w:xAlign="outside" w:y="1"/>
      <w:snapToGrid/>
      <w:ind w:left="310" w:leftChars="100" w:right="310" w:rightChars="100"/>
      <w:rPr>
        <w:rStyle w:val="16"/>
        <w:rFonts w:eastAsia="宋体"/>
        <w:sz w:val="28"/>
        <w:szCs w:val="28"/>
      </w:rPr>
    </w:pPr>
    <w:r>
      <w:rPr>
        <w:rStyle w:val="16"/>
        <w:rFonts w:hint="eastAsia" w:eastAsia="宋体"/>
        <w:sz w:val="28"/>
        <w:szCs w:val="28"/>
      </w:rPr>
      <w:t xml:space="preserve">— </w:t>
    </w:r>
    <w:r>
      <w:rPr>
        <w:rFonts w:eastAsia="宋体"/>
        <w:sz w:val="28"/>
        <w:szCs w:val="28"/>
      </w:rPr>
      <w:fldChar w:fldCharType="begin"/>
    </w:r>
    <w:r>
      <w:rPr>
        <w:rStyle w:val="16"/>
        <w:rFonts w:eastAsia="宋体"/>
        <w:sz w:val="28"/>
        <w:szCs w:val="28"/>
      </w:rPr>
      <w:instrText xml:space="preserve">PAGE  </w:instrText>
    </w:r>
    <w:r>
      <w:rPr>
        <w:rFonts w:eastAsia="宋体"/>
        <w:sz w:val="28"/>
        <w:szCs w:val="28"/>
      </w:rPr>
      <w:fldChar w:fldCharType="separate"/>
    </w:r>
    <w:r>
      <w:rPr>
        <w:rStyle w:val="16"/>
        <w:rFonts w:eastAsia="宋体"/>
        <w:sz w:val="28"/>
        <w:szCs w:val="28"/>
      </w:rPr>
      <w:t>1</w:t>
    </w:r>
    <w:r>
      <w:rPr>
        <w:rFonts w:eastAsia="宋体"/>
        <w:sz w:val="28"/>
        <w:szCs w:val="28"/>
      </w:rPr>
      <w:fldChar w:fldCharType="end"/>
    </w:r>
    <w:r>
      <w:rPr>
        <w:rStyle w:val="16"/>
        <w:rFonts w:hint="eastAsia" w:eastAsia="宋体"/>
        <w:sz w:val="28"/>
        <w:szCs w:val="28"/>
      </w:rPr>
      <w:t xml:space="preserve"> —</w:t>
    </w:r>
  </w:p>
  <w:p w14:paraId="03EF25C7">
    <w:pPr>
      <w:pStyle w:val="8"/>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F9F69">
    <w:pPr>
      <w:pStyle w:val="8"/>
      <w:framePr w:wrap="around" w:vAnchor="text" w:hAnchor="margin" w:xAlign="outside" w:y="1"/>
      <w:rPr>
        <w:rStyle w:val="16"/>
      </w:rPr>
    </w:pPr>
    <w:r>
      <w:fldChar w:fldCharType="begin"/>
    </w:r>
    <w:r>
      <w:rPr>
        <w:rStyle w:val="16"/>
      </w:rPr>
      <w:instrText xml:space="preserve">PAGE  </w:instrText>
    </w:r>
    <w:r>
      <w:fldChar w:fldCharType="separate"/>
    </w:r>
    <w:r>
      <w:rPr>
        <w:rStyle w:val="16"/>
      </w:rPr>
      <w:t>4</w:t>
    </w:r>
    <w:r>
      <w:fldChar w:fldCharType="end"/>
    </w:r>
  </w:p>
  <w:p w14:paraId="011AAF08">
    <w:pPr>
      <w:pStyle w:val="8"/>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632E23"/>
    <w:multiLevelType w:val="multilevel"/>
    <w:tmpl w:val="11632E23"/>
    <w:lvl w:ilvl="0" w:tentative="0">
      <w:start w:val="1"/>
      <w:numFmt w:val="japaneseCount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55"/>
  <w:drawingGridVerticalSpacing w:val="21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FEC"/>
    <w:rsid w:val="00007AA2"/>
    <w:rsid w:val="000367C5"/>
    <w:rsid w:val="00052809"/>
    <w:rsid w:val="000A63D9"/>
    <w:rsid w:val="001131F7"/>
    <w:rsid w:val="00120F7A"/>
    <w:rsid w:val="001B5793"/>
    <w:rsid w:val="002643ED"/>
    <w:rsid w:val="002C678D"/>
    <w:rsid w:val="002D250D"/>
    <w:rsid w:val="003010B5"/>
    <w:rsid w:val="00315F2C"/>
    <w:rsid w:val="0033181A"/>
    <w:rsid w:val="003C6A79"/>
    <w:rsid w:val="003E4907"/>
    <w:rsid w:val="004118B3"/>
    <w:rsid w:val="0048327C"/>
    <w:rsid w:val="00486D03"/>
    <w:rsid w:val="004E2BB0"/>
    <w:rsid w:val="00551BAF"/>
    <w:rsid w:val="005D5463"/>
    <w:rsid w:val="005E1954"/>
    <w:rsid w:val="00796F8D"/>
    <w:rsid w:val="007D685E"/>
    <w:rsid w:val="007D7103"/>
    <w:rsid w:val="00832F14"/>
    <w:rsid w:val="0085221D"/>
    <w:rsid w:val="008A3D35"/>
    <w:rsid w:val="008C439E"/>
    <w:rsid w:val="008E7B57"/>
    <w:rsid w:val="00920B36"/>
    <w:rsid w:val="00983CEA"/>
    <w:rsid w:val="009B216C"/>
    <w:rsid w:val="009C11E7"/>
    <w:rsid w:val="009C4E38"/>
    <w:rsid w:val="00A012AD"/>
    <w:rsid w:val="00A11D29"/>
    <w:rsid w:val="00A570FA"/>
    <w:rsid w:val="00A77FEC"/>
    <w:rsid w:val="00A978CB"/>
    <w:rsid w:val="00AC0E71"/>
    <w:rsid w:val="00B11F85"/>
    <w:rsid w:val="00B36856"/>
    <w:rsid w:val="00B66987"/>
    <w:rsid w:val="00B80ACD"/>
    <w:rsid w:val="00BA0B2C"/>
    <w:rsid w:val="00BC01DC"/>
    <w:rsid w:val="00C02FF1"/>
    <w:rsid w:val="00C611C9"/>
    <w:rsid w:val="00C67EF3"/>
    <w:rsid w:val="00CB71D8"/>
    <w:rsid w:val="00CF11A2"/>
    <w:rsid w:val="00D44AE1"/>
    <w:rsid w:val="00D609C7"/>
    <w:rsid w:val="00D81E61"/>
    <w:rsid w:val="00D82170"/>
    <w:rsid w:val="00E25254"/>
    <w:rsid w:val="00E6159C"/>
    <w:rsid w:val="00F23CE4"/>
    <w:rsid w:val="00F34831"/>
    <w:rsid w:val="00FF76E6"/>
    <w:rsid w:val="0EE620EF"/>
    <w:rsid w:val="15F00A92"/>
    <w:rsid w:val="17922F52"/>
    <w:rsid w:val="1D641DA6"/>
    <w:rsid w:val="1E8A0B27"/>
    <w:rsid w:val="21F52EAA"/>
    <w:rsid w:val="23095434"/>
    <w:rsid w:val="246676F8"/>
    <w:rsid w:val="2B867EB6"/>
    <w:rsid w:val="2F0E5507"/>
    <w:rsid w:val="301447B2"/>
    <w:rsid w:val="30E92D4B"/>
    <w:rsid w:val="3916728F"/>
    <w:rsid w:val="3E8100B1"/>
    <w:rsid w:val="3FC3052D"/>
    <w:rsid w:val="434B0262"/>
    <w:rsid w:val="480E72D4"/>
    <w:rsid w:val="490E7368"/>
    <w:rsid w:val="4E405ED6"/>
    <w:rsid w:val="51A57EC9"/>
    <w:rsid w:val="55CC0683"/>
    <w:rsid w:val="570603D3"/>
    <w:rsid w:val="58402AF3"/>
    <w:rsid w:val="59833FEA"/>
    <w:rsid w:val="5A5C0771"/>
    <w:rsid w:val="6BE94A51"/>
    <w:rsid w:val="6C14665D"/>
    <w:rsid w:val="775A47AA"/>
    <w:rsid w:val="7C617B9C"/>
    <w:rsid w:val="7CF41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宋体" w:hAnsi="宋体" w:eastAsia="仿宋_GB2312" w:cs="Times New Roman"/>
      <w:kern w:val="2"/>
      <w:sz w:val="31"/>
      <w:szCs w:val="31"/>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Body Text"/>
    <w:basedOn w:val="1"/>
    <w:link w:val="20"/>
    <w:qFormat/>
    <w:uiPriority w:val="1"/>
    <w:pPr>
      <w:autoSpaceDE w:val="0"/>
      <w:autoSpaceDN w:val="0"/>
      <w:adjustRightInd/>
      <w:jc w:val="left"/>
    </w:pPr>
    <w:rPr>
      <w:rFonts w:eastAsia="宋体" w:cs="宋体"/>
      <w:kern w:val="0"/>
      <w:sz w:val="20"/>
      <w:szCs w:val="20"/>
      <w:lang w:val="zh-CN" w:bidi="zh-CN"/>
    </w:rPr>
  </w:style>
  <w:style w:type="paragraph" w:styleId="4">
    <w:name w:val="Body Text Indent"/>
    <w:basedOn w:val="1"/>
    <w:next w:val="1"/>
    <w:unhideWhenUsed/>
    <w:qFormat/>
    <w:uiPriority w:val="99"/>
    <w:pPr>
      <w:spacing w:after="120"/>
      <w:ind w:left="420" w:leftChars="200"/>
    </w:pPr>
  </w:style>
  <w:style w:type="paragraph" w:styleId="5">
    <w:name w:val="Plain Text"/>
    <w:basedOn w:val="1"/>
    <w:qFormat/>
    <w:uiPriority w:val="0"/>
    <w:rPr>
      <w:rFonts w:ascii="宋体" w:hAnsi="Courier New"/>
      <w:sz w:val="28"/>
      <w:szCs w:val="20"/>
    </w:rPr>
  </w:style>
  <w:style w:type="paragraph" w:styleId="6">
    <w:name w:val="Date"/>
    <w:basedOn w:val="1"/>
    <w:next w:val="1"/>
    <w:link w:val="22"/>
    <w:semiHidden/>
    <w:unhideWhenUsed/>
    <w:qFormat/>
    <w:uiPriority w:val="99"/>
    <w:pPr>
      <w:ind w:left="100" w:leftChars="2500"/>
    </w:pPr>
  </w:style>
  <w:style w:type="paragraph" w:styleId="7">
    <w:name w:val="Balloon Text"/>
    <w:basedOn w:val="1"/>
    <w:link w:val="23"/>
    <w:semiHidden/>
    <w:unhideWhenUsed/>
    <w:qFormat/>
    <w:uiPriority w:val="99"/>
    <w:rPr>
      <w:sz w:val="18"/>
      <w:szCs w:val="18"/>
    </w:rPr>
  </w:style>
  <w:style w:type="paragraph" w:styleId="8">
    <w:name w:val="footer"/>
    <w:basedOn w:val="1"/>
    <w:link w:val="17"/>
    <w:qFormat/>
    <w:uiPriority w:val="0"/>
    <w:pPr>
      <w:tabs>
        <w:tab w:val="center" w:pos="4153"/>
        <w:tab w:val="right" w:pos="8306"/>
      </w:tabs>
      <w:snapToGrid w:val="0"/>
      <w:jc w:val="left"/>
    </w:pPr>
    <w:rPr>
      <w:sz w:val="18"/>
      <w:szCs w:val="18"/>
    </w:rPr>
  </w:style>
  <w:style w:type="paragraph" w:styleId="9">
    <w:name w:val="header"/>
    <w:basedOn w:val="1"/>
    <w:link w:val="1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adjustRightInd/>
      <w:spacing w:before="100" w:beforeAutospacing="1" w:after="100" w:afterAutospacing="1"/>
      <w:jc w:val="left"/>
    </w:pPr>
    <w:rPr>
      <w:rFonts w:eastAsia="宋体" w:cs="宋体"/>
      <w:kern w:val="0"/>
      <w:sz w:val="24"/>
      <w:szCs w:val="24"/>
    </w:rPr>
  </w:style>
  <w:style w:type="paragraph" w:styleId="11">
    <w:name w:val="Body Text First Indent 2"/>
    <w:basedOn w:val="4"/>
    <w:next w:val="2"/>
    <w:unhideWhenUsed/>
    <w:qFormat/>
    <w:uiPriority w:val="99"/>
    <w:pPr>
      <w:spacing w:line="360" w:lineRule="auto"/>
      <w:ind w:firstLine="420" w:firstLineChars="200"/>
      <w:jc w:val="left"/>
    </w:pPr>
    <w:rPr>
      <w:rFonts w:ascii="Times New Roman" w:hAnsi="Times New Roman" w:eastAsia="仿宋" w:cs="Times New Roman"/>
      <w:sz w:val="24"/>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bCs/>
    </w:rPr>
  </w:style>
  <w:style w:type="character" w:styleId="16">
    <w:name w:val="page number"/>
    <w:basedOn w:val="14"/>
    <w:qFormat/>
    <w:uiPriority w:val="0"/>
  </w:style>
  <w:style w:type="character" w:customStyle="1" w:styleId="17">
    <w:name w:val="页脚 Char"/>
    <w:basedOn w:val="14"/>
    <w:link w:val="8"/>
    <w:qFormat/>
    <w:uiPriority w:val="0"/>
    <w:rPr>
      <w:rFonts w:ascii="宋体" w:hAnsi="宋体" w:eastAsia="仿宋_GB2312" w:cs="Times New Roman"/>
      <w:sz w:val="18"/>
      <w:szCs w:val="18"/>
    </w:rPr>
  </w:style>
  <w:style w:type="character" w:customStyle="1" w:styleId="18">
    <w:name w:val="页眉 Char"/>
    <w:basedOn w:val="14"/>
    <w:link w:val="9"/>
    <w:semiHidden/>
    <w:qFormat/>
    <w:uiPriority w:val="99"/>
    <w:rPr>
      <w:rFonts w:ascii="宋体" w:hAnsi="宋体" w:eastAsia="仿宋_GB2312" w:cs="Times New Roman"/>
      <w:sz w:val="18"/>
      <w:szCs w:val="18"/>
    </w:rPr>
  </w:style>
  <w:style w:type="table" w:customStyle="1" w:styleId="19">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character" w:customStyle="1" w:styleId="20">
    <w:name w:val="正文文本 Char"/>
    <w:basedOn w:val="14"/>
    <w:link w:val="3"/>
    <w:qFormat/>
    <w:uiPriority w:val="1"/>
    <w:rPr>
      <w:rFonts w:ascii="宋体" w:hAnsi="宋体" w:eastAsia="宋体" w:cs="宋体"/>
      <w:kern w:val="0"/>
      <w:sz w:val="20"/>
      <w:szCs w:val="20"/>
      <w:lang w:val="zh-CN" w:bidi="zh-CN"/>
    </w:rPr>
  </w:style>
  <w:style w:type="paragraph" w:customStyle="1" w:styleId="21">
    <w:name w:val="Table Paragraph"/>
    <w:basedOn w:val="1"/>
    <w:qFormat/>
    <w:uiPriority w:val="1"/>
    <w:pPr>
      <w:autoSpaceDE w:val="0"/>
      <w:autoSpaceDN w:val="0"/>
      <w:adjustRightInd/>
      <w:jc w:val="left"/>
    </w:pPr>
    <w:rPr>
      <w:rFonts w:ascii="仿宋_GB2312" w:hAnsi="仿宋_GB2312" w:cs="仿宋_GB2312"/>
      <w:kern w:val="0"/>
      <w:sz w:val="22"/>
      <w:szCs w:val="22"/>
      <w:lang w:val="zh-CN" w:bidi="zh-CN"/>
    </w:rPr>
  </w:style>
  <w:style w:type="character" w:customStyle="1" w:styleId="22">
    <w:name w:val="日期 Char"/>
    <w:basedOn w:val="14"/>
    <w:link w:val="6"/>
    <w:semiHidden/>
    <w:qFormat/>
    <w:uiPriority w:val="99"/>
    <w:rPr>
      <w:rFonts w:ascii="宋体" w:hAnsi="宋体" w:eastAsia="仿宋_GB2312" w:cs="Times New Roman"/>
      <w:sz w:val="31"/>
      <w:szCs w:val="31"/>
    </w:rPr>
  </w:style>
  <w:style w:type="character" w:customStyle="1" w:styleId="23">
    <w:name w:val="批注框文本 Char"/>
    <w:basedOn w:val="14"/>
    <w:link w:val="7"/>
    <w:semiHidden/>
    <w:qFormat/>
    <w:uiPriority w:val="99"/>
    <w:rPr>
      <w:rFonts w:ascii="宋体" w:hAnsi="宋体" w:eastAsia="仿宋_GB2312" w:cs="Times New Roman"/>
      <w:sz w:val="18"/>
      <w:szCs w:val="18"/>
    </w:rPr>
  </w:style>
  <w:style w:type="paragraph" w:customStyle="1" w:styleId="24">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5">
    <w:name w:val="样式3"/>
    <w:basedOn w:val="5"/>
    <w:qFormat/>
    <w:uiPriority w:val="0"/>
    <w:pPr>
      <w:spacing w:line="0" w:lineRule="atLeast"/>
      <w:outlineLvl w:val="0"/>
    </w:pPr>
  </w:style>
  <w:style w:type="paragraph" w:customStyle="1" w:styleId="26">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134</Words>
  <Characters>137</Characters>
  <Lines>3</Lines>
  <Paragraphs>1</Paragraphs>
  <TotalTime>1</TotalTime>
  <ScaleCrop>false</ScaleCrop>
  <LinksUpToDate>false</LinksUpToDate>
  <CharactersWithSpaces>224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2023-11-13T06:47:00Z</dcterms:created>
  <dc:creator>PC</dc:creator>
  <cp:lastModifiedBy>进击</cp:lastModifiedBy>
  <cp:lastPrinted>2025-01-07T01:23:00Z</cp:lastPrinted>
  <dcterms:modified xsi:type="dcterms:W3CDTF">2026-04-08T12:28:34Z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eyJoZGlkIjoiYjkzZTFlYjgzZGJmZjI1NmE1YTdhNDc4ZDRhOGM2YmIiLCJ1c2VySWQiOiIyOTU5ODU1MDQifQ==</vt:lpwstr>
  </property>
  <property fmtid="{D5CDD505-2E9C-101B-9397-08002B2CF9AE}" pid="3" name="KSOProductBuildVer">
    <vt:lpwstr>2052-12.1.0.24657</vt:lpwstr>
  </property>
  <property fmtid="{D5CDD505-2E9C-101B-9397-08002B2CF9AE}" pid="4" name="ICV">
    <vt:lpwstr>4ECC6B0B0A334DD88C2335D5A4F8C17D_13</vt:lpwstr>
  </property>
</Properties>
</file>