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9B94A0E">
      <w:pPr>
        <w:pStyle w:val="style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货物和服务项目</w:t>
      </w:r>
    </w:p>
    <w:p w14:paraId="361DFD69">
      <w:pPr>
        <w:pStyle w:val="style0"/>
        <w:rPr>
          <w:b/>
          <w:szCs w:val="21"/>
        </w:rPr>
      </w:pPr>
    </w:p>
    <w:p w14:paraId="E1F8C937">
      <w:pPr>
        <w:pStyle w:val="style0"/>
        <w:rPr>
          <w:b/>
          <w:szCs w:val="21"/>
        </w:rPr>
      </w:pPr>
    </w:p>
    <w:p w14:paraId="84D9F1F0">
      <w:pPr>
        <w:pStyle w:val="style0"/>
        <w:rPr>
          <w:b/>
          <w:szCs w:val="21"/>
        </w:rPr>
      </w:pPr>
    </w:p>
    <w:p w14:paraId="A6B97820">
      <w:pPr>
        <w:pStyle w:val="style0"/>
        <w:rPr>
          <w:b/>
          <w:szCs w:val="21"/>
        </w:rPr>
      </w:pPr>
    </w:p>
    <w:p w14:paraId="FEBCCBE3">
      <w:pPr>
        <w:pStyle w:val="style0"/>
        <w:rPr>
          <w:b/>
          <w:szCs w:val="21"/>
        </w:rPr>
      </w:pPr>
    </w:p>
    <w:p w14:paraId="057C8590">
      <w:pPr>
        <w:pStyle w:val="style0"/>
        <w:rPr>
          <w:b/>
          <w:szCs w:val="21"/>
        </w:rPr>
      </w:pPr>
    </w:p>
    <w:p w14:paraId="A0672978">
      <w:pPr>
        <w:pStyle w:val="style0"/>
        <w:tabs>
          <w:tab w:val="left" w:leader="none" w:pos="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84"/>
          <w:szCs w:val="84"/>
        </w:rPr>
        <w:t>询价文件</w:t>
      </w:r>
    </w:p>
    <w:p w14:paraId="4B6AB6BD">
      <w:pPr>
        <w:pStyle w:val="style0"/>
        <w:jc w:val="center"/>
        <w:rPr>
          <w:b/>
          <w:sz w:val="24"/>
        </w:rPr>
      </w:pPr>
    </w:p>
    <w:p w14:paraId="0540226E">
      <w:pPr>
        <w:pStyle w:val="style0"/>
        <w:rPr>
          <w:b/>
          <w:sz w:val="24"/>
        </w:rPr>
      </w:pPr>
    </w:p>
    <w:p w14:paraId="7D217080">
      <w:pPr>
        <w:pStyle w:val="style0"/>
        <w:jc w:val="center"/>
        <w:rPr>
          <w:b/>
          <w:sz w:val="24"/>
        </w:rPr>
      </w:pPr>
    </w:p>
    <w:p w14:paraId="0553C2EB">
      <w:pPr>
        <w:pStyle w:val="style0"/>
        <w:jc w:val="center"/>
        <w:rPr>
          <w:b/>
          <w:sz w:val="24"/>
        </w:rPr>
      </w:pPr>
    </w:p>
    <w:p w14:paraId="67ED5E67">
      <w:pPr>
        <w:pStyle w:val="style0"/>
        <w:jc w:val="center"/>
        <w:rPr>
          <w:b/>
          <w:sz w:val="28"/>
          <w:szCs w:val="28"/>
        </w:rPr>
      </w:pPr>
    </w:p>
    <w:p w14:paraId="A32F37B5">
      <w:pPr>
        <w:pStyle w:val="style0"/>
        <w:jc w:val="center"/>
        <w:rPr>
          <w:b/>
          <w:sz w:val="28"/>
          <w:szCs w:val="28"/>
        </w:rPr>
      </w:pPr>
    </w:p>
    <w:p w14:paraId="07701309">
      <w:pPr>
        <w:pStyle w:val="style0"/>
        <w:ind w:firstLine="1400" w:firstLineChars="500"/>
        <w:rPr>
          <w:rFonts w:ascii="宋体" w:cs="Times New Roman" w:eastAsia="仿宋_GB2312" w:hAnsi="宋体" w:hint="default"/>
          <w:b/>
          <w:kern w:val="2"/>
          <w:sz w:val="28"/>
          <w:szCs w:val="31"/>
          <w:u w:val="single"/>
          <w:lang w:val="en-US" w:bidi="ar-SA" w:eastAsia="zh-CN"/>
        </w:rPr>
      </w:pPr>
      <w:r>
        <w:rPr>
          <w:rFonts w:hint="eastAsia"/>
          <w:b/>
          <w:sz w:val="28"/>
        </w:rPr>
        <w:t>询价项目名称：</w:t>
      </w:r>
      <w:r>
        <w:rPr>
          <w:rFonts w:ascii="宋体" w:cs="Times New Roman" w:eastAsia="仿宋_GB2312" w:hAnsi="宋体" w:hint="eastAsia"/>
          <w:b/>
          <w:kern w:val="2"/>
          <w:sz w:val="28"/>
          <w:szCs w:val="31"/>
          <w:u w:val="single"/>
          <w:lang w:val="en-US" w:bidi="ar-SA" w:eastAsia="zh-CN"/>
        </w:rPr>
        <w:t xml:space="preserve">  闭环管理系统和电子病历五级改造项目  </w:t>
      </w:r>
      <w:r>
        <w:rPr>
          <w:rFonts w:cs="Times New Roman" w:hint="eastAsia"/>
          <w:b/>
          <w:kern w:val="2"/>
          <w:sz w:val="28"/>
          <w:szCs w:val="31"/>
          <w:u w:val="single"/>
          <w:lang w:val="en-US" w:bidi="ar-SA" w:eastAsia="zh-CN"/>
        </w:rPr>
        <w:t xml:space="preserve"> </w:t>
      </w:r>
    </w:p>
    <w:p w14:paraId="830ECD2E">
      <w:pPr>
        <w:pStyle w:val="style28"/>
        <w:spacing w:lineRule="auto" w:line="360"/>
        <w:ind w:firstLine="1391" w:firstLineChars="497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招  标  人：</w:t>
      </w:r>
      <w:r>
        <w:rPr>
          <w:rFonts w:hint="eastAsia"/>
          <w:b/>
          <w:sz w:val="28"/>
          <w:u w:val="single"/>
          <w:lang w:val="en-US" w:eastAsia="zh-CN"/>
        </w:rPr>
        <w:t xml:space="preserve">      </w:t>
      </w:r>
      <w:r>
        <w:rPr>
          <w:rFonts w:hint="eastAsia"/>
          <w:b/>
          <w:sz w:val="28"/>
          <w:u w:val="single"/>
        </w:rPr>
        <w:t>三明市第一医院</w:t>
      </w:r>
      <w:r>
        <w:rPr>
          <w:rFonts w:hint="eastAsia"/>
          <w:b/>
          <w:sz w:val="28"/>
          <w:u w:val="single"/>
          <w:lang w:val="en-US" w:eastAsia="zh-CN"/>
        </w:rPr>
        <w:t xml:space="preserve">     </w:t>
      </w:r>
    </w:p>
    <w:p w14:paraId="8AB52EB1">
      <w:pPr>
        <w:pStyle w:val="style28"/>
        <w:spacing w:lineRule="auto" w:line="360"/>
        <w:ind w:firstLine="1383" w:firstLineChars="494"/>
        <w:rPr>
          <w:rFonts w:eastAsia="仿宋_GB2312" w:hint="default"/>
          <w:sz w:val="32"/>
          <w:lang w:val="en-US" w:eastAsia="zh-CN"/>
        </w:rPr>
        <w:sectPr>
          <w:footerReference w:type="even" r:id="rId2"/>
          <w:footerReference w:type="default" r:id="rId3"/>
          <w:footerReference w:type="first" r:id="rId4"/>
          <w:pgSz w:w="11907" w:h="16840" w:orient="portrait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/>
          <w:b/>
          <w:sz w:val="28"/>
        </w:rPr>
        <w:t>日      期：</w:t>
      </w:r>
      <w:r>
        <w:rPr>
          <w:rFonts w:hint="eastAsia"/>
          <w:b/>
          <w:sz w:val="28"/>
          <w:u w:val="single"/>
        </w:rPr>
        <w:t>　     2025年</w:t>
      </w:r>
      <w:r>
        <w:rPr>
          <w:rFonts w:hint="eastAsia"/>
          <w:b/>
          <w:sz w:val="28"/>
          <w:u w:val="single"/>
          <w:lang w:val="en-US" w:eastAsia="zh-CN"/>
        </w:rPr>
        <w:t>10</w:t>
      </w:r>
      <w:r>
        <w:rPr>
          <w:rFonts w:hint="eastAsia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 </w:t>
      </w:r>
    </w:p>
    <w:p w14:paraId="D3506171">
      <w:pPr>
        <w:pStyle w:val="style90"/>
        <w:spacing w:lineRule="auto" w:line="420"/>
        <w:outlineLvl w:val="0"/>
        <w:rPr>
          <w:rFonts w:hAnsi="宋体"/>
          <w:b/>
          <w:sz w:val="24"/>
        </w:rPr>
      </w:pPr>
    </w:p>
    <w:p w14:paraId="3C31BCDF">
      <w:pPr>
        <w:pStyle w:val="style90"/>
        <w:spacing w:lineRule="auto" w:line="420"/>
        <w:ind w:firstLine="420"/>
        <w:jc w:val="center"/>
        <w:outlineLvl w:val="0"/>
        <w:rPr>
          <w:rFonts w:hAnsi="宋体"/>
          <w:b/>
          <w:sz w:val="24"/>
        </w:rPr>
      </w:pPr>
    </w:p>
    <w:p w14:paraId="7B0D438D">
      <w:pPr>
        <w:pStyle w:val="style90"/>
        <w:jc w:val="center"/>
        <w:outlineLvl w:val="0"/>
        <w:rPr>
          <w:rFonts w:ascii="仿宋_GB2312" w:hAnsi="宋体"/>
          <w:b/>
          <w:bCs/>
          <w:sz w:val="32"/>
        </w:rPr>
      </w:pPr>
      <w:r>
        <w:rPr>
          <w:rFonts w:ascii="仿宋_GB2312" w:hAnsi="宋体" w:hint="eastAsia"/>
          <w:b/>
          <w:bCs/>
          <w:sz w:val="32"/>
        </w:rPr>
        <w:t>目   录</w:t>
      </w:r>
    </w:p>
    <w:p w14:paraId="EE4DBF13">
      <w:pPr>
        <w:pStyle w:val="style28"/>
        <w:snapToGrid w:val="false"/>
        <w:spacing w:lineRule="atLeast" w:line="420"/>
        <w:ind w:firstLine="560"/>
        <w:rPr>
          <w:rFonts w:ascii="仿宋_GB2312"/>
          <w:sz w:val="28"/>
        </w:rPr>
      </w:pPr>
    </w:p>
    <w:p w14:paraId="33B5090C">
      <w:pPr>
        <w:pStyle w:val="style28"/>
        <w:snapToGrid w:val="false"/>
        <w:spacing w:lineRule="exact" w:line="440"/>
        <w:ind w:firstLine="4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第一章  询价公告</w:t>
      </w:r>
    </w:p>
    <w:p w14:paraId="DF0F7E9C">
      <w:pPr>
        <w:pStyle w:val="style28"/>
        <w:snapToGrid w:val="false"/>
        <w:spacing w:lineRule="exact" w:line="440"/>
        <w:ind w:firstLine="4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第二章  报价书</w:t>
      </w:r>
    </w:p>
    <w:p w14:paraId="17583BC6">
      <w:pPr>
        <w:pStyle w:val="style4097"/>
        <w:rPr>
          <w:rFonts w:ascii="仿宋_GB2312" w:eastAsia="仿宋_GB2312" w:hAnsi="宋体"/>
          <w:b/>
          <w:color w:val="auto"/>
          <w:sz w:val="36"/>
        </w:rPr>
      </w:pPr>
    </w:p>
    <w:p w14:paraId="3675DEC1">
      <w:pPr>
        <w:pStyle w:val="style4097"/>
        <w:rPr>
          <w:rFonts w:ascii="仿宋_GB2312" w:eastAsia="仿宋_GB2312" w:hAnsi="宋体"/>
          <w:b/>
          <w:color w:val="auto"/>
          <w:sz w:val="36"/>
        </w:rPr>
      </w:pPr>
    </w:p>
    <w:bookmarkStart w:id="0" w:name="_Toc101777609"/>
    <w:bookmarkStart w:id="1" w:name="_Toc247770230"/>
    <w:p w14:paraId="6D54B31B">
      <w:pPr>
        <w:pStyle w:val="style0"/>
        <w:spacing w:lineRule="auto" w:line="360"/>
        <w:jc w:val="center"/>
        <w:rPr>
          <w:rFonts w:ascii="仿宋" w:cs="仿宋" w:eastAsia="仿宋" w:hAnsi="仿宋"/>
          <w:b/>
          <w:bCs/>
          <w:sz w:val="32"/>
        </w:rPr>
      </w:pPr>
      <w:r>
        <w:rPr>
          <w:rFonts w:ascii="仿宋_GB2312" w:hint="eastAsia"/>
          <w:b/>
          <w:bCs/>
          <w:sz w:val="32"/>
        </w:rPr>
        <w:br w:type="page"/>
      </w:r>
      <w:r>
        <w:rPr>
          <w:rFonts w:ascii="仿宋" w:cs="仿宋" w:eastAsia="仿宋" w:hAnsi="仿宋" w:hint="eastAsia"/>
          <w:b/>
          <w:bCs/>
          <w:sz w:val="32"/>
        </w:rPr>
        <w:t>第一章    询价公告</w:t>
      </w:r>
    </w:p>
    <w:p w14:paraId="3C3DD28D">
      <w:pPr>
        <w:pStyle w:val="style0"/>
        <w:spacing w:lineRule="auto" w:line="360"/>
        <w:ind w:firstLine="480" w:firstLineChars="20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三明市第一医院就</w:t>
      </w:r>
      <w:r>
        <w:rPr>
          <w:rFonts w:ascii="仿宋" w:cs="仿宋" w:eastAsia="仿宋" w:hAnsi="仿宋" w:hint="eastAsia"/>
          <w:sz w:val="24"/>
          <w:lang w:val="en-US" w:eastAsia="zh-CN"/>
        </w:rPr>
        <w:t>闭环管理系统和电子病历五级改造项目</w:t>
      </w:r>
      <w:r>
        <w:rPr>
          <w:rFonts w:ascii="仿宋" w:cs="仿宋" w:eastAsia="仿宋" w:hAnsi="仿宋" w:hint="eastAsia"/>
          <w:sz w:val="24"/>
        </w:rPr>
        <w:t>进行公开询价，欢迎国内具有资质条件的供应商前来参加报价。</w:t>
      </w:r>
    </w:p>
    <w:p w14:paraId="A58B2C0E">
      <w:pPr>
        <w:pStyle w:val="style0"/>
        <w:numPr>
          <w:ilvl w:val="0"/>
          <w:numId w:val="1"/>
        </w:numPr>
        <w:spacing w:lineRule="auto" w:line="36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项目名称：</w:t>
      </w:r>
      <w:r>
        <w:rPr>
          <w:rFonts w:ascii="仿宋" w:cs="仿宋" w:eastAsia="仿宋" w:hAnsi="仿宋" w:hint="eastAsia"/>
          <w:sz w:val="24"/>
          <w:lang w:val="en-US" w:eastAsia="zh-CN"/>
        </w:rPr>
        <w:t>闭环管理系统和电子病历五级改造项目</w:t>
      </w:r>
    </w:p>
    <w:p w14:paraId="9A831ABE">
      <w:pPr>
        <w:pStyle w:val="style0"/>
        <w:numPr>
          <w:ilvl w:val="0"/>
          <w:numId w:val="1"/>
        </w:numPr>
        <w:spacing w:lineRule="auto" w:line="360"/>
        <w:rPr>
          <w:rFonts w:ascii="仿宋" w:cs="仿宋" w:eastAsia="仿宋" w:hAnsi="仿宋" w:hint="eastAsia"/>
          <w:color w:val="000000"/>
          <w:kern w:val="0"/>
          <w:sz w:val="24"/>
          <w:szCs w:val="24"/>
        </w:rPr>
      </w:pPr>
      <w:r>
        <w:rPr>
          <w:rFonts w:ascii="仿宋" w:cs="仿宋" w:eastAsia="仿宋" w:hAnsi="仿宋" w:hint="eastAsia"/>
          <w:sz w:val="24"/>
        </w:rPr>
        <w:t>项目内容及要求：</w:t>
      </w:r>
    </w:p>
    <w:p w14:paraId="A350B053">
      <w:pPr>
        <w:pStyle w:val="style0"/>
        <w:spacing w:lineRule="auto" w:line="300"/>
        <w:ind w:firstLine="480" w:firstLineChars="200"/>
        <w:jc w:val="left"/>
        <w:rPr>
          <w:rFonts w:ascii="仿宋_GB2312" w:cs="Times New Roman" w:hAnsi="宋体" w:hint="default"/>
          <w:sz w:val="24"/>
          <w:lang w:val="en-US" w:eastAsia="zh-CN"/>
        </w:rPr>
      </w:pPr>
      <w:r>
        <w:rPr>
          <w:rFonts w:ascii="仿宋_GB2312" w:cs="Times New Roman" w:hAnsi="宋体" w:hint="eastAsia"/>
          <w:sz w:val="24"/>
          <w:lang w:val="en-US" w:eastAsia="zh-CN"/>
        </w:rPr>
        <w:t>遵循国家有关政策和标准，在医院现有信息化基础上，进一步完成闭环管理系统建设和电子病历5级改造相关工作，满足医院医疗业务实际应用的要求，支撑临床业务高效、高质运转，实现信息化应用达到电子病历5级水平，助力医院高质量发展和智慧医院建设。</w:t>
      </w:r>
    </w:p>
    <w:p w14:paraId="290C8023">
      <w:pPr>
        <w:pStyle w:val="style0"/>
        <w:spacing w:lineRule="auto" w:line="300"/>
        <w:ind w:firstLine="480" w:firstLineChars="200"/>
        <w:jc w:val="left"/>
        <w:rPr>
          <w:rFonts w:ascii="仿宋_GB2312" w:cs="Times New Roman" w:hAnsi="宋体" w:hint="eastAsia"/>
          <w:sz w:val="24"/>
          <w:lang w:val="en-US" w:eastAsia="zh-CN"/>
        </w:rPr>
      </w:pPr>
      <w:r>
        <w:rPr>
          <w:rFonts w:ascii="仿宋_GB2312" w:cs="Times New Roman" w:hAnsi="宋体" w:hint="eastAsia"/>
          <w:sz w:val="24"/>
          <w:lang w:val="en-US" w:eastAsia="zh-CN"/>
        </w:rPr>
        <w:t>数据采集接口：</w:t>
      </w:r>
    </w:p>
    <w:tbl>
      <w:tblPr>
        <w:tblStyle w:val="style105"/>
        <w:tblpPr w:leftFromText="180" w:rightFromText="180" w:topFromText="0" w:bottomFromText="0" w:vertAnchor="text" w:horzAnchor="page" w:tblpX="1522" w:tblpY="1006"/>
        <w:tblOverlap w:val="never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67"/>
        <w:gridCol w:w="2137"/>
        <w:gridCol w:w="4962"/>
      </w:tblGrid>
      <w:tr w14:paraId="F840F583"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920B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Chars="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B6325B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系统名称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4D024F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功能模块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BE1350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功能模块明细</w:t>
            </w:r>
          </w:p>
        </w:tc>
      </w:tr>
      <w:tr w14:paraId="94C9525F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0F88A32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746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闭环管理系统</w:t>
            </w:r>
          </w:p>
        </w:tc>
        <w:tc>
          <w:tcPr>
            <w:tcW w:w="1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6EB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闭环展示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F7C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住院口服药医嘱闭环</w:t>
            </w:r>
          </w:p>
        </w:tc>
      </w:tr>
      <w:tr w14:paraId="7332A0BD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3904002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5224E2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C6A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08E615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住院注射医嘱闭环</w:t>
            </w:r>
          </w:p>
        </w:tc>
      </w:tr>
      <w:tr w14:paraId="6D9F6362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D3CE6CF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989B49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9F03A6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627228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住院输液（含微泵等持续执行的药品）闭环</w:t>
            </w:r>
          </w:p>
        </w:tc>
      </w:tr>
      <w:tr w14:paraId="FB8992C4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0E2A63E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673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D1FB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4DD116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住院检验标本闭环</w:t>
            </w:r>
          </w:p>
        </w:tc>
      </w:tr>
      <w:tr w14:paraId="8CE50834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BA5FAD92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F1B362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1A521F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4368FE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住院检验危急值闭环</w:t>
            </w:r>
          </w:p>
        </w:tc>
      </w:tr>
      <w:tr w14:paraId="773458EB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F27BB8D0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C02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A20A75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BC9CCA0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门诊检验标本闭环</w:t>
            </w:r>
          </w:p>
        </w:tc>
      </w:tr>
      <w:tr w14:paraId="5973F9B2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E125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4EB6D5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3FB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188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门诊检验危急值闭环</w:t>
            </w:r>
          </w:p>
        </w:tc>
      </w:tr>
      <w:tr w14:paraId="255F91F8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4E1F3FF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898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F612E0C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067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住院放射检查闭环</w:t>
            </w:r>
          </w:p>
        </w:tc>
      </w:tr>
      <w:tr w14:paraId="EE383A7F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BF4028A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C0DA39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B5098D7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363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住院超声检查闭环</w:t>
            </w:r>
          </w:p>
        </w:tc>
      </w:tr>
      <w:tr w14:paraId="5F8525F5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BBB88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549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391B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695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住院心电检查闭环</w:t>
            </w:r>
          </w:p>
        </w:tc>
      </w:tr>
      <w:tr w14:paraId="59551A7B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FE6A19DD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4BFF0D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45A419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DE50B1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住院内镜检查闭环</w:t>
            </w:r>
          </w:p>
        </w:tc>
      </w:tr>
      <w:tr w14:paraId="E0DF2A54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7299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C9A548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6AE785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1F8AAD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住院病理检查闭环</w:t>
            </w:r>
          </w:p>
        </w:tc>
      </w:tr>
      <w:tr w14:paraId="A45A139D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20DD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8671FE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F7133A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FAAFE9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住院放射危急值闭环</w:t>
            </w:r>
          </w:p>
        </w:tc>
      </w:tr>
      <w:tr w14:paraId="6352DDBF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BD4E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330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C6C66E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931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住院超声危急值闭环</w:t>
            </w:r>
          </w:p>
        </w:tc>
      </w:tr>
      <w:tr w14:paraId="8DE3D8F8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389E9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565E2D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4958EC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E6C0D2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住院心电危急值闭环</w:t>
            </w:r>
          </w:p>
        </w:tc>
      </w:tr>
      <w:tr w14:paraId="73F9B69C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F5D491A9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5DD623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81D3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1B0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住院内镜危急值闭环</w:t>
            </w:r>
          </w:p>
        </w:tc>
      </w:tr>
      <w:tr w14:paraId="D9C1D03C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FBE97FC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3F8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862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00F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住院病理危急值闭环</w:t>
            </w:r>
          </w:p>
        </w:tc>
      </w:tr>
      <w:tr w14:paraId="187254EE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1815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780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6EF865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CB9BD75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门诊放射检查闭环</w:t>
            </w:r>
          </w:p>
        </w:tc>
      </w:tr>
      <w:tr w14:paraId="9FDA8A74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EADFFC7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C8F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171FA8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9E2374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门诊超声检查闭环</w:t>
            </w:r>
          </w:p>
        </w:tc>
      </w:tr>
      <w:tr w14:paraId="5F9404A7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70A6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19F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89128C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9D4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门诊心电检查闭环</w:t>
            </w:r>
          </w:p>
        </w:tc>
      </w:tr>
      <w:tr w14:paraId="A1F12904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49709D3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AE6256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996404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404EA0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门诊内镜检查闭环</w:t>
            </w:r>
          </w:p>
        </w:tc>
      </w:tr>
      <w:tr w14:paraId="FBF087C5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2153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844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B32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DA7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门诊放射危急值闭环</w:t>
            </w:r>
          </w:p>
        </w:tc>
      </w:tr>
      <w:tr w14:paraId="D816EF30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834F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05C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C0AB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BE8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门诊超声危急值闭环</w:t>
            </w:r>
          </w:p>
        </w:tc>
      </w:tr>
      <w:tr w14:paraId="05308D2B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D9D6E95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7F815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A8F716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AD5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门诊心电危急值闭环</w:t>
            </w:r>
          </w:p>
        </w:tc>
      </w:tr>
      <w:tr w14:paraId="3061242E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4CB73C6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DF6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1F89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8CA35D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门诊内镜危急值闭环</w:t>
            </w:r>
          </w:p>
        </w:tc>
      </w:tr>
      <w:tr w14:paraId="086297AE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B2F7462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8B0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8CFA45C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A3153E5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门诊病理危急值闭环</w:t>
            </w:r>
          </w:p>
        </w:tc>
      </w:tr>
      <w:tr w14:paraId="840E3723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BFDD4E4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BC7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B916335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0A8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用血闭环</w:t>
            </w:r>
          </w:p>
        </w:tc>
      </w:tr>
      <w:tr w14:paraId="4694EF05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75D7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43D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D9C7F3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0B225D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住院手术麻醉闭环</w:t>
            </w:r>
          </w:p>
        </w:tc>
      </w:tr>
      <w:tr w14:paraId="C0DA1B05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2968E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18A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762531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适配改造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05CD28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系统适配改造</w:t>
            </w:r>
          </w:p>
        </w:tc>
      </w:tr>
      <w:tr w14:paraId="FF980B52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30DA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448F7D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电子病历五级评审相关改造</w:t>
            </w:r>
          </w:p>
        </w:tc>
        <w:tc>
          <w:tcPr>
            <w:tcW w:w="1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5AE7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检查系统改造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DD9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放射信息系统CTA支持设置参考值范围</w:t>
            </w:r>
          </w:p>
        </w:tc>
      </w:tr>
      <w:tr w14:paraId="117979AB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9B73E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C66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FDD4A75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137C9E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放射信息系统、内镜信息系统支持VIP功能</w:t>
            </w:r>
          </w:p>
        </w:tc>
      </w:tr>
      <w:tr w14:paraId="556D3823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0081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00442F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DF9511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D08D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内镜、放射信息系统支持实现质控功能</w:t>
            </w:r>
          </w:p>
        </w:tc>
      </w:tr>
      <w:tr w14:paraId="7BADA46B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FF1BA85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8B2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CE4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住院医生站改造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3132CF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支持查看血库相关数据、增加调用电子病历接口，支持判断是否有写输血知情同意书</w:t>
            </w:r>
          </w:p>
        </w:tc>
      </w:tr>
      <w:tr w14:paraId="7BFDFE2D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44E0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E28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AAFE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3BC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嵌入LIS界面接口改造</w:t>
            </w:r>
          </w:p>
        </w:tc>
      </w:tr>
      <w:tr w14:paraId="B6B185D2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3F61A77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54A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86F75E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C80E5A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生理周期选项改造</w:t>
            </w:r>
          </w:p>
        </w:tc>
      </w:tr>
      <w:tr w14:paraId="663058E5">
        <w:tblPrEx/>
        <w:trPr>
          <w:trHeight w:val="523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33057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A0A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4D1B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住院护士站改造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A45AC1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嵌入LIS界面接口改造</w:t>
            </w:r>
          </w:p>
        </w:tc>
      </w:tr>
      <w:tr w14:paraId="0E437773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2BFE1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1601A2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F94FD9E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ESB改造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9AE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平台支持危急值接口数据格式转化</w:t>
            </w:r>
          </w:p>
        </w:tc>
      </w:tr>
      <w:tr w14:paraId="DAB40DA3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B46D36AD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12B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A7B7FE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患者360改造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967364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平台支持增加调用移动护理数据，执行记录数据，实现相关数据界面展示</w:t>
            </w:r>
          </w:p>
        </w:tc>
      </w:tr>
      <w:tr w14:paraId="A670188C">
        <w:tblPrEx/>
        <w:trPr>
          <w:trHeight w:val="90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0E0E3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E68175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1AE21C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1FE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患者360支持在选择检查检验医嘱后，可以通过快捷方式直接跳转到对应医技报告发布界面</w:t>
            </w:r>
          </w:p>
        </w:tc>
      </w:tr>
      <w:tr w14:paraId="357581CB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AE74B0A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F19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A5E19B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85A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平台支持接入检验申请单数据，实现申请单相关数据界面展示</w:t>
            </w:r>
          </w:p>
        </w:tc>
      </w:tr>
      <w:tr w14:paraId="971BB728">
        <w:tblPrEx/>
        <w:trPr>
          <w:trHeight w:val="312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B8A4F18E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9D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6D4750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D79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平台支持接入检查申请单数据，实现申请单相关数据界面展示</w:t>
            </w:r>
          </w:p>
        </w:tc>
      </w:tr>
      <w:tr w14:paraId="30F59482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7B80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1492F8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D35D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ABE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患者360支持增加调用病案翻拍系统数据</w:t>
            </w:r>
          </w:p>
        </w:tc>
      </w:tr>
      <w:tr w14:paraId="BFBAD9BC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C6E3EA70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F54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FC88A00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HDW数据扩容接入</w:t>
            </w: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E6D642B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手麻系统需接入数据中心，相关数据支持通过患者360进行展示</w:t>
            </w:r>
          </w:p>
        </w:tc>
      </w:tr>
      <w:tr w14:paraId="415442B1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8C0E0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F08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D3398BF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B8F39F9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重症系统需接入数据中心，相关数据支持通过患者360进行展示</w:t>
            </w:r>
          </w:p>
        </w:tc>
      </w:tr>
      <w:tr w14:paraId="303E5E05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04165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9585254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95A67E3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E6F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病理系统升级后，平台需支持重新处理数据获取接口，实现相关数据接入平台数据中心</w:t>
            </w:r>
          </w:p>
        </w:tc>
      </w:tr>
      <w:tr w14:paraId="F2339267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E53F0CEB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82FCA72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616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A09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放射系统升级后，平台需支持重新处理数据获取接口，实现相关数据接入平台数据中心</w:t>
            </w:r>
          </w:p>
        </w:tc>
      </w:tr>
      <w:tr w14:paraId="C9A657EB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B6624BE4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44F9C1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0E01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5C5775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内镜系统升级后，平台需支持重新处理数据获取接口，实现相关数据接入平台数据中心</w:t>
            </w:r>
          </w:p>
        </w:tc>
      </w:tr>
      <w:tr w14:paraId="A3A61E64">
        <w:tblPrEx/>
        <w:trPr>
          <w:trHeight w:val="624" w:hRule="atLeast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8E54D"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2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425" w:leftChars="0" w:hanging="425" w:firstLineChars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FE4983D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ABB554C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D08A4C0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输血系统升级后，平台需支持重新处理数据获取接口，实现相关数据接入平台数据中心</w:t>
            </w:r>
          </w:p>
        </w:tc>
      </w:tr>
    </w:tbl>
    <w:p w14:paraId="B523584B">
      <w:pPr>
        <w:pStyle w:val="style66"/>
        <w:rPr>
          <w:rFonts w:hint="eastAsia"/>
        </w:rPr>
      </w:pPr>
    </w:p>
    <w:p w14:paraId="91540C6E">
      <w:pPr>
        <w:pStyle w:val="style0"/>
        <w:spacing w:lineRule="auto" w:line="360"/>
        <w:ind w:firstLine="480" w:firstLineChars="200"/>
        <w:rPr>
          <w:rFonts w:hint="eastAsia"/>
          <w:color w:val="ff0000"/>
        </w:rPr>
      </w:pPr>
      <w:r>
        <w:rPr>
          <w:rFonts w:ascii="仿宋_GB2312" w:eastAsia="仿宋_GB2312" w:hAnsi="宋体" w:hint="eastAsia"/>
          <w:color w:val="ff0000"/>
          <w:sz w:val="24"/>
        </w:rPr>
        <w:t>系统必须包括但不限于以上内容要求。</w:t>
      </w:r>
    </w:p>
    <w:p w14:paraId="1AB931C1">
      <w:pPr>
        <w:pStyle w:val="style0"/>
        <w:widowControl/>
        <w:tabs>
          <w:tab w:val="left" w:leader="none" w:pos="840"/>
          <w:tab w:val="left" w:leader="none" w:pos="945"/>
          <w:tab w:val="left" w:leader="none" w:pos="1050"/>
        </w:tabs>
        <w:spacing w:lineRule="auto" w:line="360"/>
        <w:ind w:firstLine="480" w:firstLineChars="200"/>
        <w:rPr>
          <w:rFonts w:hint="default"/>
          <w:lang w:val="en-US" w:eastAsia="zh-CN"/>
        </w:rPr>
      </w:pPr>
      <w:r>
        <w:rPr>
          <w:rFonts w:ascii="仿宋_GB2312" w:cs="宋体" w:eastAsia="仿宋_GB2312" w:hAnsi="宋体" w:hint="eastAsia"/>
          <w:kern w:val="0"/>
          <w:sz w:val="24"/>
        </w:rPr>
        <w:t>三、</w:t>
      </w:r>
      <w:r>
        <w:rPr>
          <w:rFonts w:ascii="仿宋_GB2312" w:eastAsia="仿宋_GB2312" w:hAnsi="宋体" w:hint="eastAsia"/>
          <w:sz w:val="24"/>
        </w:rPr>
        <w:t>被询价人的资格要求：</w:t>
      </w:r>
      <w:r>
        <w:rPr>
          <w:rFonts w:ascii="仿宋_GB2312" w:eastAsia="仿宋_GB2312" w:hint="eastAsia"/>
          <w:sz w:val="24"/>
        </w:rPr>
        <w:t>符合《中华人民共和国政府采购法》第二十二条、二十四条及本询价文件规定条件的供应商。</w:t>
      </w:r>
    </w:p>
    <w:p w14:paraId="D81DB949">
      <w:pPr>
        <w:pStyle w:val="style0"/>
        <w:widowControl/>
        <w:spacing w:lineRule="auto" w:line="360"/>
        <w:ind w:firstLine="480" w:firstLineChars="20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四、报价</w:t>
      </w:r>
    </w:p>
    <w:p w14:paraId="8ECCF792">
      <w:pPr>
        <w:pStyle w:val="style0"/>
        <w:spacing w:lineRule="auto" w:line="360"/>
        <w:ind w:firstLine="480" w:firstLineChars="20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1.1报价以人民币为结算货币。</w:t>
      </w:r>
    </w:p>
    <w:p w14:paraId="A6478C64">
      <w:pPr>
        <w:pStyle w:val="style0"/>
        <w:spacing w:lineRule="auto" w:line="360"/>
        <w:ind w:firstLine="480" w:firstLineChars="20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1.2报价为包含税价、货物运送、人工等费用；</w:t>
      </w:r>
    </w:p>
    <w:p w14:paraId="413472F9">
      <w:pPr>
        <w:pStyle w:val="style0"/>
        <w:autoSpaceDE w:val="false"/>
        <w:autoSpaceDN w:val="false"/>
        <w:spacing w:lineRule="auto" w:line="360"/>
        <w:ind w:firstLine="480" w:firstLineChars="20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1.3被询价人应慎重合理确定利润，自主报价，不得盲目压价，低于成本恶性竞争。</w:t>
      </w:r>
    </w:p>
    <w:p w14:paraId="1AB32771">
      <w:pPr>
        <w:pStyle w:val="style0"/>
        <w:autoSpaceDE w:val="false"/>
        <w:autoSpaceDN w:val="false"/>
        <w:spacing w:lineRule="auto" w:line="360"/>
        <w:ind w:firstLine="480" w:firstLineChars="20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1.4报价总金额到元为止。</w:t>
      </w:r>
    </w:p>
    <w:p w14:paraId="1DBD7F25">
      <w:pPr>
        <w:pStyle w:val="style0"/>
        <w:autoSpaceDE w:val="false"/>
        <w:autoSpaceDN w:val="false"/>
        <w:spacing w:lineRule="auto" w:line="360"/>
        <w:ind w:firstLine="480" w:firstLineChars="200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1.5各报价单位可以根据情况选择合同包报价，所报总价为：预算数量×单价。</w:t>
      </w:r>
    </w:p>
    <w:p w14:paraId="00F64821">
      <w:pPr>
        <w:pStyle w:val="style28"/>
        <w:tabs>
          <w:tab w:val="left" w:leader="none" w:pos="8668"/>
        </w:tabs>
        <w:snapToGrid w:val="false"/>
        <w:spacing w:lineRule="auto" w:line="360"/>
        <w:ind w:firstLine="480"/>
        <w:rPr>
          <w:rFonts w:ascii="仿宋_GB2312" w:cs="宋体"/>
          <w:kern w:val="0"/>
          <w:sz w:val="24"/>
        </w:rPr>
      </w:pPr>
      <w:r>
        <w:rPr>
          <w:rFonts w:ascii="仿宋_GB2312" w:hint="eastAsia"/>
          <w:sz w:val="24"/>
        </w:rPr>
        <w:t>五、</w:t>
      </w:r>
      <w:r>
        <w:rPr>
          <w:rFonts w:ascii="仿宋_GB2312" w:cs="宋体" w:hint="eastAsia"/>
          <w:kern w:val="0"/>
          <w:sz w:val="24"/>
        </w:rPr>
        <w:t xml:space="preserve"> 报价书的递交</w:t>
      </w:r>
      <w:r>
        <w:rPr>
          <w:rFonts w:ascii="仿宋_GB2312" w:cs="宋体" w:hint="eastAsia"/>
          <w:kern w:val="0"/>
          <w:sz w:val="24"/>
        </w:rPr>
        <w:br/>
      </w:r>
      <w:r>
        <w:rPr>
          <w:rFonts w:ascii="仿宋_GB2312" w:cs="宋体" w:hint="eastAsia"/>
          <w:kern w:val="0"/>
          <w:sz w:val="24"/>
        </w:rPr>
        <w:t xml:space="preserve">    报价书递交的截止时间（投标截止时间）：</w:t>
      </w:r>
      <w:r>
        <w:rPr>
          <w:rFonts w:ascii="仿宋_GB2312" w:cs="宋体" w:hint="eastAsia"/>
          <w:color w:val="ff0000"/>
          <w:kern w:val="0"/>
          <w:sz w:val="24"/>
        </w:rPr>
        <w:t>2025年</w:t>
      </w:r>
      <w:r>
        <w:rPr>
          <w:rFonts w:ascii="仿宋_GB2312" w:cs="宋体" w:hint="eastAsia"/>
          <w:color w:val="ff0000"/>
          <w:kern w:val="0"/>
          <w:sz w:val="24"/>
          <w:lang w:val="en-US" w:eastAsia="zh-CN"/>
        </w:rPr>
        <w:t>10</w:t>
      </w:r>
      <w:r>
        <w:rPr>
          <w:rFonts w:ascii="仿宋_GB2312" w:cs="宋体" w:hint="eastAsia"/>
          <w:color w:val="ff0000"/>
          <w:kern w:val="0"/>
          <w:sz w:val="24"/>
        </w:rPr>
        <w:t>月</w:t>
      </w:r>
      <w:r>
        <w:rPr>
          <w:rFonts w:ascii="仿宋_GB2312" w:cs="宋体" w:hint="eastAsia"/>
          <w:color w:val="ff0000"/>
          <w:kern w:val="0"/>
          <w:sz w:val="24"/>
          <w:lang w:val="en-US" w:eastAsia="zh-CN"/>
        </w:rPr>
        <w:t>31</w:t>
      </w:r>
      <w:r>
        <w:rPr>
          <w:rFonts w:ascii="仿宋_GB2312" w:cs="宋体" w:hint="eastAsia"/>
          <w:color w:val="ff0000"/>
          <w:kern w:val="0"/>
          <w:sz w:val="24"/>
        </w:rPr>
        <w:t>日17时30分</w:t>
      </w:r>
      <w:r>
        <w:rPr>
          <w:rFonts w:ascii="仿宋_GB2312" w:cs="宋体" w:hint="eastAsia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741CD5F6">
      <w:pPr>
        <w:pStyle w:val="style0"/>
        <w:widowControl/>
        <w:tabs>
          <w:tab w:val="left" w:leader="none" w:pos="510"/>
          <w:tab w:val="left" w:leader="none" w:pos="900"/>
          <w:tab w:val="left" w:leader="none" w:pos="1100"/>
        </w:tabs>
        <w:spacing w:lineRule="auto" w:line="360"/>
        <w:jc w:val="left"/>
        <w:rPr>
          <w:rFonts w:ascii="仿宋_GB2312"/>
          <w:i/>
          <w:sz w:val="24"/>
        </w:rPr>
      </w:pPr>
      <w:r>
        <w:rPr>
          <w:rFonts w:ascii="仿宋_GB2312" w:hint="eastAsia"/>
          <w:sz w:val="24"/>
          <w:szCs w:val="20"/>
        </w:rPr>
        <w:t xml:space="preserve">   六、联系方式</w:t>
      </w:r>
      <w:r>
        <w:rPr>
          <w:rFonts w:ascii="仿宋_GB2312" w:cs="宋体" w:hint="eastAsia"/>
          <w:kern w:val="0"/>
          <w:sz w:val="24"/>
        </w:rPr>
        <w:br/>
      </w:r>
      <w:r>
        <w:rPr>
          <w:rFonts w:ascii="仿宋_GB2312" w:cs="宋体" w:hint="eastAsia"/>
          <w:kern w:val="0"/>
          <w:sz w:val="24"/>
        </w:rPr>
        <w:t xml:space="preserve">      询价人：三明市第一医院</w:t>
      </w:r>
    </w:p>
    <w:p w14:paraId="0BD74972">
      <w:pPr>
        <w:pStyle w:val="style28"/>
        <w:tabs>
          <w:tab w:val="left" w:leader="none" w:pos="8668"/>
        </w:tabs>
        <w:snapToGrid w:val="false"/>
        <w:spacing w:lineRule="auto" w:line="360"/>
        <w:ind w:firstLine="780" w:firstLineChars="325"/>
        <w:rPr>
          <w:rFonts w:ascii="仿宋_GB2312" w:cs="宋体"/>
          <w:kern w:val="0"/>
          <w:sz w:val="24"/>
        </w:rPr>
      </w:pPr>
      <w:r>
        <w:rPr>
          <w:rFonts w:ascii="仿宋_GB2312" w:cs="宋体" w:hint="eastAsia"/>
          <w:kern w:val="0"/>
          <w:sz w:val="24"/>
        </w:rPr>
        <w:t>地址：三明市第一医院信息科（市图书馆A座18层软件运维室）</w:t>
      </w:r>
    </w:p>
    <w:p w14:paraId="93AA5601">
      <w:pPr>
        <w:pStyle w:val="style28"/>
        <w:tabs>
          <w:tab w:val="left" w:leader="none" w:pos="8668"/>
        </w:tabs>
        <w:snapToGrid w:val="false"/>
        <w:spacing w:lineRule="auto" w:line="360"/>
        <w:ind w:firstLine="840" w:firstLineChars="350"/>
        <w:rPr>
          <w:rFonts w:ascii="仿宋_GB2312" w:cs="宋体"/>
          <w:kern w:val="0"/>
          <w:sz w:val="24"/>
        </w:rPr>
      </w:pPr>
      <w:r>
        <w:rPr>
          <w:rFonts w:ascii="仿宋_GB2312" w:cs="宋体" w:hint="eastAsia"/>
          <w:kern w:val="0"/>
          <w:sz w:val="24"/>
        </w:rPr>
        <w:t>邮编：365001；电话：</w:t>
      </w:r>
      <w:r>
        <w:rPr>
          <w:rFonts w:ascii="仿宋_GB2312" w:hint="eastAsia"/>
          <w:sz w:val="24"/>
        </w:rPr>
        <w:t>0598-5173950</w:t>
      </w:r>
      <w:r>
        <w:rPr>
          <w:rFonts w:ascii="仿宋_GB2312" w:cs="宋体" w:hint="eastAsia"/>
          <w:kern w:val="0"/>
          <w:sz w:val="24"/>
        </w:rPr>
        <w:t>联系人：</w:t>
      </w:r>
      <w:bookmarkEnd w:id="0"/>
      <w:bookmarkEnd w:id="1"/>
      <w:r>
        <w:rPr>
          <w:rFonts w:ascii="仿宋_GB2312" w:cs="宋体" w:hint="eastAsia"/>
          <w:kern w:val="0"/>
          <w:sz w:val="24"/>
          <w:lang w:val="en-US" w:eastAsia="zh-CN"/>
        </w:rPr>
        <w:t>沈女士</w:t>
      </w:r>
    </w:p>
    <w:p w14:paraId="012A1C16">
      <w:pPr>
        <w:pStyle w:val="style4107"/>
        <w:numPr>
          <w:ilvl w:val="0"/>
          <w:numId w:val="3"/>
        </w:numPr>
        <w:ind w:firstLine="480" w:firstLineChars="200"/>
        <w:rPr>
          <w:rFonts w:ascii="仿宋_GB2312" w:hAnsi="宋体"/>
          <w:color w:val="ff0000"/>
          <w:sz w:val="24"/>
        </w:rPr>
      </w:pPr>
      <w:r>
        <w:rPr>
          <w:rFonts w:ascii="仿宋_GB2312" w:hAnsi="宋体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bookmarkStart w:id="2" w:name="_GoBack"/>
    <w:bookmarkEnd w:id="2"/>
    <w:p w14:paraId="875AD3D8">
      <w:pPr>
        <w:pStyle w:val="style4107"/>
        <w:jc w:val="both"/>
        <w:rPr>
          <w:rFonts w:ascii="仿宋_GB2312" w:eastAsia="仿宋_GB2312" w:hAnsi="宋体" w:hint="eastAsia"/>
          <w:b/>
          <w:sz w:val="36"/>
        </w:rPr>
      </w:pPr>
    </w:p>
    <w:p w14:paraId="5878B8A4">
      <w:pPr>
        <w:pStyle w:val="style4107"/>
        <w:jc w:val="center"/>
        <w:rPr>
          <w:rFonts w:ascii="仿宋_GB2312" w:eastAsia="仿宋_GB2312" w:hAnsi="宋体" w:hint="eastAsia"/>
          <w:b/>
          <w:sz w:val="36"/>
        </w:rPr>
      </w:pPr>
      <w:r>
        <w:rPr>
          <w:rFonts w:ascii="仿宋_GB2312" w:eastAsia="仿宋_GB2312" w:hAnsi="宋体" w:hint="eastAsia"/>
          <w:b/>
          <w:sz w:val="36"/>
        </w:rPr>
        <w:t>第二章  报  价  书</w:t>
      </w:r>
    </w:p>
    <w:p w14:paraId="882083B0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</w:p>
    <w:p w14:paraId="8E06AFBE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致：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</w:p>
    <w:p w14:paraId="5C792F2C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</w:p>
    <w:p w14:paraId="AB312D7D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根据贵方为 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项目的询价函，本签字代表（全名、职务）正式授权并代表被询价人提交下述报价：</w:t>
      </w:r>
    </w:p>
    <w:p w14:paraId="861CD62F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据此函，签字代表宣布同意如下：</w:t>
      </w:r>
    </w:p>
    <w:p w14:paraId="ED7EF79F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1.所附询价文件中规定的应提供的货物（服务）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sz w:val="24"/>
        </w:rPr>
        <w:t xml:space="preserve">合同包报价总价为人民币 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 xml:space="preserve">，即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>（中文表述）。</w:t>
      </w:r>
    </w:p>
    <w:p w14:paraId="D8101D35">
      <w:pPr>
        <w:pStyle w:val="style0"/>
        <w:spacing w:lineRule="exact" w:line="380"/>
        <w:ind w:firstLine="480" w:firstLineChars="20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1.被询价人已详细审查全部询价文件，将自行承担因对全部询价文件理解不正确或误解而产生的相应后果。</w:t>
      </w:r>
    </w:p>
    <w:p w14:paraId="35F10F67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E55DF83E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3、被询价人已经过现场踏勘，明确了解全部施工范围和施工内容，明确被询价人的全部权利和义务。</w:t>
      </w:r>
    </w:p>
    <w:p w14:paraId="45948732">
      <w:pPr>
        <w:pStyle w:val="style0"/>
        <w:spacing w:lineRule="exact" w:line="380"/>
        <w:ind w:firstLine="480" w:firstLineChars="20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4. 与本询价有关的一切正式往来通讯请寄：</w:t>
      </w:r>
    </w:p>
    <w:p w14:paraId="3E1547BB">
      <w:pPr>
        <w:pStyle w:val="style0"/>
        <w:spacing w:lineRule="exact" w:line="380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 地址：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 xml:space="preserve"> 邮编：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</w:p>
    <w:p w14:paraId="AF580598">
      <w:pPr>
        <w:pStyle w:val="style0"/>
        <w:spacing w:lineRule="exact" w:line="380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 电话：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 xml:space="preserve"> 传真：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</w:p>
    <w:p w14:paraId="4D947C16">
      <w:pPr>
        <w:pStyle w:val="style0"/>
        <w:spacing w:lineRule="exact" w:line="380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被询价人代表签字：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</w:p>
    <w:p w14:paraId="55F122A0">
      <w:pPr>
        <w:pStyle w:val="style0"/>
        <w:spacing w:lineRule="exact" w:line="3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被询价人（全称并加盖公章）：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</w:p>
    <w:p w14:paraId="23323A7D">
      <w:pPr>
        <w:pStyle w:val="style0"/>
        <w:tabs>
          <w:tab w:val="center" w:leader="none" w:pos="900"/>
          <w:tab w:val="center" w:leader="none" w:pos="1080"/>
        </w:tabs>
        <w:spacing w:lineRule="auto" w:line="360"/>
        <w:ind w:firstLine="4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</w:t>
      </w:r>
    </w:p>
    <w:p w14:paraId="77C3F4A1">
      <w:pPr>
        <w:pStyle w:val="style0"/>
        <w:tabs>
          <w:tab w:val="center" w:leader="none" w:pos="900"/>
          <w:tab w:val="center" w:leader="none" w:pos="1080"/>
        </w:tabs>
        <w:spacing w:lineRule="auto" w:line="360"/>
        <w:ind w:firstLine="4560" w:firstLineChars="1900"/>
        <w:rPr>
          <w:rFonts w:ascii="宋体" w:cs="宋体" w:hAnsi="宋体"/>
          <w:bCs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日  期： 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日</w:t>
      </w:r>
    </w:p>
    <w:p w14:paraId="62542332">
      <w:pPr>
        <w:pStyle w:val="style0"/>
        <w:jc w:val="left"/>
        <w:rPr/>
      </w:pPr>
    </w:p>
    <w:sectPr>
      <w:footerReference w:type="even" r:id="rId5"/>
      <w:footerReference w:type="default" r:id="rId6"/>
      <w:pgSz w:w="11906" w:h="16838" w:orient="portrait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b1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004030204"/>
    <w:charset w:val="00"/>
    <w:family w:val="roman"/>
    <w:pitch w:val="default"/>
    <w:sig w:usb0="E00006FF" w:usb1="400004FF" w:usb2="00000000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9DFC103F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 w14:paraId="E1996361">
    <w:pPr>
      <w:pStyle w:val="style32"/>
      <w:jc w:val="center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96DAF5A">
    <w:pPr>
      <w:pStyle w:val="style32"/>
      <w:jc w:val="center"/>
      <w:rPr/>
    </w:pPr>
    <w:r>
      <w:rPr>
        <w:rFonts w:hint="eastAsia"/>
      </w:rPr>
      <w:t>第</w:t>
    </w:r>
    <w:r>
      <w:rPr/>
      <w:fldChar w:fldCharType="begin"/>
    </w:r>
    <w:r>
      <w:rPr>
        <w:rStyle w:val="style41"/>
      </w:rPr>
      <w:instrText xml:space="preserve"> PAGE </w:instrText>
    </w:r>
    <w:r>
      <w:rPr/>
      <w:fldChar w:fldCharType="separate"/>
    </w:r>
    <w:r>
      <w:rPr>
        <w:rStyle w:val="style41"/>
      </w:rPr>
      <w:t>3</w:t>
    </w:r>
    <w:r>
      <w:rPr/>
      <w:fldChar w:fldCharType="end"/>
    </w:r>
    <w:r>
      <w:rPr>
        <w:rFonts w:hint="eastAsia"/>
      </w:rPr>
      <w:t xml:space="preserve">页 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C343D2C7">
    <w:pPr>
      <w:pStyle w:val="style32"/>
      <w:jc w:val="center"/>
      <w:rPr/>
    </w:pPr>
    <w:r>
      <w:rPr/>
      <w:fldChar w:fldCharType="begin"/>
    </w:r>
    <w:r>
      <w:rPr>
        <w:rStyle w:val="style41"/>
      </w:rPr>
      <w:instrText xml:space="preserve"> PAGE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D029B3E">
    <w:pPr>
      <w:pStyle w:val="style32"/>
      <w:framePr w:wrap="around" w:hAnchor="margin" w:vAnchor="text" w:xAlign="outside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4</w:t>
    </w:r>
    <w:r>
      <w:rPr/>
      <w:fldChar w:fldCharType="end"/>
    </w:r>
  </w:p>
  <w:p w14:paraId="8D7C7E56">
    <w:pPr>
      <w:pStyle w:val="style32"/>
      <w:ind w:right="360" w:firstLine="360"/>
      <w:rPr/>
    </w:pP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D4A6C5D">
    <w:pPr>
      <w:pStyle w:val="style32"/>
      <w:framePr w:wrap="around" w:hAnchor="margin" w:vAnchor="text" w:xAlign="outside" w:y="1"/>
      <w:snapToGrid/>
      <w:ind w:left="310" w:leftChars="100" w:right="310" w:rightChars="100"/>
      <w:rPr>
        <w:rStyle w:val="style41"/>
        <w:rFonts w:eastAsia="宋体"/>
        <w:sz w:val="28"/>
        <w:szCs w:val="28"/>
      </w:rPr>
    </w:pPr>
    <w:r>
      <w:rPr>
        <w:rStyle w:val="style41"/>
        <w:rFonts w:eastAsia="宋体" w:hint="eastAsia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style4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style41"/>
        <w:rFonts w:eastAsia="宋体"/>
        <w:sz w:val="28"/>
        <w:szCs w:val="28"/>
      </w:rPr>
      <w:t>6</w:t>
    </w:r>
    <w:r>
      <w:rPr>
        <w:rFonts w:eastAsia="宋体"/>
        <w:sz w:val="28"/>
        <w:szCs w:val="28"/>
      </w:rPr>
      <w:fldChar w:fldCharType="end"/>
    </w:r>
    <w:r>
      <w:rPr>
        <w:rStyle w:val="style41"/>
        <w:rFonts w:eastAsia="宋体" w:hint="eastAsia"/>
        <w:sz w:val="28"/>
        <w:szCs w:val="28"/>
      </w:rPr>
      <w:t xml:space="preserve"> —</w:t>
    </w:r>
  </w:p>
  <w:p w14:paraId="8EB4A95C">
    <w:pPr>
      <w:pStyle w:val="style32"/>
      <w:ind w:right="360" w:firstLine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990AF35"/>
    <w:lvl w:ilvl="0">
      <w:start w:val="7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multilevel"/>
    <w:tmpl w:val="11632E2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0000002"/>
    <w:multiLevelType w:val="singleLevel"/>
    <w:tmpl w:val="284C6510"/>
    <w:lvl w:ilvl="0">
      <w:start w:val="1"/>
      <w:numFmt w:val="decimal"/>
      <w:lvlText w:val="%1"/>
      <w:lvlJc w:val="left"/>
      <w:pPr>
        <w:tabs>
          <w:tab w:val="left" w:leader="none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adjustRightInd w:val="false"/>
      <w:jc w:val="both"/>
    </w:pPr>
    <w:rPr>
      <w:rFonts w:ascii="宋体" w:cs="Times New Roman" w:eastAsia="仿宋_GB2312" w:hAnsi="宋体"/>
      <w:kern w:val="2"/>
      <w:sz w:val="31"/>
      <w:szCs w:val="31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2"/>
    </w:pPr>
    <w:rPr>
      <w:b/>
      <w:sz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4097"/>
    <w:link w:val="style4103"/>
    <w:qFormat/>
    <w:uiPriority w:val="1"/>
    <w:pPr>
      <w:autoSpaceDE w:val="false"/>
      <w:autoSpaceDN w:val="false"/>
      <w:adjustRightInd/>
      <w:jc w:val="left"/>
    </w:pPr>
    <w:rPr>
      <w:rFonts w:cs="宋体" w:eastAsia="宋体"/>
      <w:kern w:val="0"/>
      <w:sz w:val="20"/>
      <w:szCs w:val="20"/>
      <w:lang w:val="zh-CN" w:bidi="zh-CN"/>
    </w:rPr>
  </w:style>
  <w:style w:type="paragraph" w:customStyle="1" w:styleId="style4097">
    <w:name w:val="Default"/>
    <w:next w:val="style4097"/>
    <w:qFormat/>
    <w:uiPriority w:val="0"/>
    <w:pPr>
      <w:widowControl w:val="false"/>
      <w:autoSpaceDE w:val="false"/>
      <w:autoSpaceDN w:val="false"/>
      <w:adjustRightInd w:val="false"/>
    </w:pPr>
    <w:rPr>
      <w:rFonts w:ascii="宋体" w:cs="Times New Roman" w:eastAsia="宋体" w:hAnsi="Times New Roman"/>
      <w:color w:val="000000"/>
      <w:sz w:val="24"/>
      <w:szCs w:val="24"/>
      <w:lang w:val="en-US" w:bidi="ar-SA" w:eastAsia="zh-CN"/>
    </w:rPr>
  </w:style>
  <w:style w:type="paragraph" w:styleId="style28">
    <w:name w:val="Normal Indent"/>
    <w:basedOn w:val="style0"/>
    <w:next w:val="style0"/>
    <w:qFormat/>
    <w:uiPriority w:val="0"/>
    <w:pPr>
      <w:ind w:firstLine="420" w:firstLineChars="200"/>
    </w:pPr>
    <w:rPr/>
  </w:style>
  <w:style w:type="paragraph" w:styleId="style67">
    <w:name w:val="Body Text Indent"/>
    <w:basedOn w:val="style0"/>
    <w:next w:val="style0"/>
    <w:qFormat/>
    <w:uiPriority w:val="99"/>
    <w:pPr>
      <w:spacing w:after="120"/>
      <w:ind w:left="420" w:leftChars="200"/>
    </w:pPr>
    <w:rPr/>
  </w:style>
  <w:style w:type="paragraph" w:styleId="style13">
    <w:name w:val="index 4"/>
    <w:basedOn w:val="style0"/>
    <w:next w:val="style0"/>
    <w:qFormat/>
    <w:uiPriority w:val="99"/>
    <w:pPr>
      <w:ind w:left="600" w:leftChars="600"/>
    </w:pPr>
    <w:rPr/>
  </w:style>
  <w:style w:type="paragraph" w:styleId="style90">
    <w:name w:val="Plain Text"/>
    <w:basedOn w:val="style0"/>
    <w:next w:val="style90"/>
    <w:qFormat/>
    <w:uiPriority w:val="0"/>
    <w:pPr/>
    <w:rPr>
      <w:rFonts w:hAnsi="Courier New"/>
      <w:sz w:val="28"/>
      <w:szCs w:val="20"/>
    </w:rPr>
  </w:style>
  <w:style w:type="paragraph" w:styleId="style76">
    <w:name w:val="Date"/>
    <w:basedOn w:val="style0"/>
    <w:next w:val="style0"/>
    <w:link w:val="style4105"/>
    <w:qFormat/>
    <w:uiPriority w:val="99"/>
    <w:pPr>
      <w:ind w:left="100" w:leftChars="2500"/>
    </w:pPr>
    <w:rPr/>
  </w:style>
  <w:style w:type="paragraph" w:styleId="style153">
    <w:name w:val="Balloon Text"/>
    <w:basedOn w:val="style0"/>
    <w:next w:val="style153"/>
    <w:link w:val="style4106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3">
    <w:name w:val="Message Header"/>
    <w:basedOn w:val="style0"/>
    <w:next w:val="style73"/>
    <w:qFormat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style94">
    <w:name w:val="Normal (Web)"/>
    <w:basedOn w:val="style0"/>
    <w:next w:val="style94"/>
    <w:qFormat/>
    <w:uiPriority w:val="99"/>
    <w:pPr>
      <w:widowControl/>
      <w:adjustRightInd/>
      <w:spacing w:before="100" w:beforeAutospacing="true" w:after="100" w:afterAutospacing="true"/>
      <w:jc w:val="left"/>
    </w:pPr>
    <w:rPr>
      <w:rFonts w:cs="宋体" w:eastAsia="宋体"/>
      <w:kern w:val="0"/>
      <w:sz w:val="24"/>
      <w:szCs w:val="24"/>
    </w:rPr>
  </w:style>
  <w:style w:type="paragraph" w:styleId="style62">
    <w:name w:val="Title"/>
    <w:basedOn w:val="style0"/>
    <w:next w:val="style62"/>
    <w:qFormat/>
    <w:uiPriority w:val="0"/>
    <w:pPr>
      <w:spacing w:before="240" w:beforeAutospacing="false" w:after="60" w:afterAutospacing="false"/>
      <w:jc w:val="center"/>
      <w:outlineLvl w:val="0"/>
    </w:pPr>
    <w:rPr>
      <w:rFonts w:ascii="Arial" w:hAnsi="Arial"/>
      <w:b/>
      <w:sz w:val="32"/>
    </w:rPr>
  </w:style>
  <w:style w:type="paragraph" w:styleId="style78">
    <w:name w:val="Body Text First Indent 2"/>
    <w:basedOn w:val="style67"/>
    <w:next w:val="style28"/>
    <w:qFormat/>
    <w:uiPriority w:val="99"/>
    <w:pPr>
      <w:spacing w:lineRule="auto" w:line="360"/>
      <w:ind w:firstLine="420" w:firstLineChars="200"/>
      <w:jc w:val="left"/>
    </w:pPr>
    <w:rPr>
      <w:rFonts w:ascii="Times New Roman" w:eastAsia="仿宋" w:hAnsi="Times New Roman"/>
      <w:sz w:val="24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41">
    <w:name w:val="page number"/>
    <w:basedOn w:val="style65"/>
    <w:next w:val="style41"/>
    <w:qFormat/>
    <w:uiPriority w:val="0"/>
  </w:style>
  <w:style w:type="paragraph" w:customStyle="1" w:styleId="style4098">
    <w:name w:val="style4"/>
    <w:basedOn w:val="style0"/>
    <w:next w:val="style4099"/>
    <w:qFormat/>
    <w:uiPriority w:val="0"/>
    <w:pPr>
      <w:widowControl/>
      <w:spacing w:before="280" w:after="280" w:lineRule="auto" w:line="240"/>
    </w:pPr>
    <w:rPr>
      <w:rFonts w:ascii="宋体"/>
      <w:sz w:val="18"/>
    </w:rPr>
  </w:style>
  <w:style w:type="paragraph" w:customStyle="1" w:styleId="style4099">
    <w:name w:val="2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sz w:val="21"/>
      <w:szCs w:val="22"/>
      <w:lang w:val="en-US" w:bidi="ar-SA" w:eastAsia="zh-CN"/>
    </w:rPr>
  </w:style>
  <w:style w:type="character" w:customStyle="1" w:styleId="style4100">
    <w:name w:val="页脚 Char"/>
    <w:basedOn w:val="style65"/>
    <w:next w:val="style4100"/>
    <w:link w:val="style32"/>
    <w:qFormat/>
    <w:uiPriority w:val="0"/>
    <w:rPr>
      <w:rFonts w:ascii="宋体" w:cs="Times New Roman" w:eastAsia="仿宋_GB2312" w:hAnsi="宋体"/>
      <w:sz w:val="18"/>
      <w:szCs w:val="18"/>
    </w:rPr>
  </w:style>
  <w:style w:type="character" w:customStyle="1" w:styleId="style4101">
    <w:name w:val="页眉 Char"/>
    <w:basedOn w:val="style65"/>
    <w:next w:val="style4101"/>
    <w:link w:val="style31"/>
    <w:qFormat/>
    <w:uiPriority w:val="99"/>
    <w:rPr>
      <w:rFonts w:ascii="宋体" w:cs="Times New Roman" w:eastAsia="仿宋_GB2312" w:hAnsi="宋体"/>
      <w:sz w:val="18"/>
      <w:szCs w:val="18"/>
    </w:rPr>
  </w:style>
  <w:style w:type="table" w:customStyle="1" w:styleId="style4102">
    <w:name w:val="Table Normal"/>
    <w:next w:val="style4102"/>
    <w:qFormat/>
    <w:uiPriority w:val="2"/>
    <w:pPr>
      <w:widowControl w:val="false"/>
      <w:autoSpaceDE w:val="false"/>
      <w:autoSpaceDN w:val="false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103">
    <w:name w:val="正文文本 Char"/>
    <w:basedOn w:val="style65"/>
    <w:next w:val="style4103"/>
    <w:link w:val="style66"/>
    <w:qFormat/>
    <w:uiPriority w:val="1"/>
    <w:rPr>
      <w:rFonts w:ascii="宋体" w:cs="宋体" w:eastAsia="宋体" w:hAnsi="宋体"/>
      <w:kern w:val="0"/>
      <w:sz w:val="20"/>
      <w:szCs w:val="20"/>
      <w:lang w:val="zh-CN" w:bidi="zh-CN"/>
    </w:rPr>
  </w:style>
  <w:style w:type="paragraph" w:customStyle="1" w:styleId="style4104">
    <w:name w:val="Table Paragraph"/>
    <w:basedOn w:val="style0"/>
    <w:next w:val="style4104"/>
    <w:qFormat/>
    <w:uiPriority w:val="1"/>
    <w:pPr>
      <w:autoSpaceDE w:val="false"/>
      <w:autoSpaceDN w:val="false"/>
      <w:adjustRightInd/>
      <w:jc w:val="left"/>
    </w:pPr>
    <w:rPr>
      <w:rFonts w:ascii="仿宋_GB2312" w:cs="仿宋_GB2312" w:hAnsi="仿宋_GB2312"/>
      <w:kern w:val="0"/>
      <w:sz w:val="22"/>
      <w:szCs w:val="22"/>
      <w:lang w:val="zh-CN" w:bidi="zh-CN"/>
    </w:rPr>
  </w:style>
  <w:style w:type="character" w:customStyle="1" w:styleId="style4105">
    <w:name w:val="日期 Char"/>
    <w:basedOn w:val="style65"/>
    <w:next w:val="style4105"/>
    <w:link w:val="style76"/>
    <w:qFormat/>
    <w:uiPriority w:val="99"/>
    <w:rPr>
      <w:rFonts w:ascii="宋体" w:cs="Times New Roman" w:eastAsia="仿宋_GB2312" w:hAnsi="宋体"/>
      <w:sz w:val="31"/>
      <w:szCs w:val="31"/>
    </w:rPr>
  </w:style>
  <w:style w:type="character" w:customStyle="1" w:styleId="style4106">
    <w:name w:val="批注框文本 Char"/>
    <w:basedOn w:val="style65"/>
    <w:next w:val="style4106"/>
    <w:link w:val="style153"/>
    <w:qFormat/>
    <w:uiPriority w:val="99"/>
    <w:rPr>
      <w:rFonts w:ascii="宋体" w:cs="Times New Roman" w:eastAsia="仿宋_GB2312" w:hAnsi="宋体"/>
      <w:sz w:val="18"/>
      <w:szCs w:val="18"/>
    </w:rPr>
  </w:style>
  <w:style w:type="paragraph" w:customStyle="1" w:styleId="style4107">
    <w:name w:val="样式3"/>
    <w:basedOn w:val="style90"/>
    <w:next w:val="style4107"/>
    <w:qFormat/>
    <w:uiPriority w:val="0"/>
    <w:pPr>
      <w:spacing w:lineRule="atLeast" w:line="0"/>
      <w:outlineLvl w:val="0"/>
    </w:pPr>
    <w:rPr/>
  </w:style>
  <w:style w:type="paragraph" w:customStyle="1" w:styleId="style4108">
    <w:name w:val="普通(网站)1"/>
    <w:basedOn w:val="style0"/>
    <w:next w:val="style4108"/>
    <w:qFormat/>
    <w:uiPriority w:val="0"/>
    <w:pPr>
      <w:widowControl/>
      <w:spacing w:before="100" w:beforeAutospacing="true" w:after="100" w:afterAutospacing="true"/>
      <w:jc w:val="left"/>
    </w:pPr>
    <w:rPr>
      <w:kern w:val="0"/>
      <w:sz w:val="24"/>
    </w:rPr>
  </w:style>
  <w:style w:type="paragraph" w:styleId="style179">
    <w:name w:val="List Paragraph"/>
    <w:basedOn w:val="style0"/>
    <w:next w:val="style179"/>
    <w:qFormat/>
    <w:uiPriority w:val="0"/>
    <w:pPr>
      <w:ind w:firstLine="420" w:firstLineChars="200"/>
    </w:pPr>
    <w:rPr>
      <w:rFonts w:ascii="Times New Roman" w:eastAsia="宋体" w:hAnsi="Times New Roman"/>
    </w:rPr>
  </w:style>
  <w:style w:type="paragraph" w:customStyle="1" w:styleId="style4109">
    <w:name w:val="null3"/>
    <w:next w:val="style4109"/>
    <w:qFormat/>
    <w:uiPriority w:val="0"/>
    <w:pPr/>
    <w:rPr>
      <w:rFonts w:ascii="Calibri" w:cs="Times New Roman" w:eastAsia="宋体" w:hAnsi="Calibri" w:hint="eastAsia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1842</Words>
  <Pages>7</Pages>
  <Characters>1907</Characters>
  <Application>WPS Office</Application>
  <DocSecurity>0</DocSecurity>
  <Paragraphs>322</Paragraphs>
  <ScaleCrop>false</ScaleCrop>
  <Company>Microsoft</Company>
  <LinksUpToDate>false</LinksUpToDate>
  <CharactersWithSpaces>2235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2023-11-13T06:47:00Z</dcterms:created>
  <dc:creator>PC</dc:creator>
  <lastModifiedBy>MAG-AN00</lastModifiedBy>
  <lastPrinted>2025-01-07T01:23:00Z</lastPrinted>
  <dcterms:modified xsi:type="dcterms:W3CDTF">2025-10-27T02:24:07Z</dcterms:modified>
  <revision>68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0f57c362a8fa47a583864e6eb9efdc72_23</vt:lpwstr>
  </property>
</Properties>
</file>