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26EA4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073B3307">
      <w:pPr>
        <w:rPr>
          <w:rFonts w:hint="eastAsia" w:ascii="宋体" w:hAnsi="宋体"/>
          <w:b/>
          <w:szCs w:val="21"/>
        </w:rPr>
      </w:pPr>
    </w:p>
    <w:p w14:paraId="3AF1280F">
      <w:pPr>
        <w:rPr>
          <w:rFonts w:hint="eastAsia" w:ascii="宋体" w:hAnsi="宋体"/>
          <w:b/>
          <w:szCs w:val="21"/>
        </w:rPr>
      </w:pPr>
    </w:p>
    <w:p w14:paraId="268E656F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18C21C38">
      <w:pPr>
        <w:jc w:val="center"/>
        <w:rPr>
          <w:rFonts w:hint="eastAsia" w:ascii="宋体" w:hAnsi="宋体"/>
          <w:b/>
          <w:sz w:val="24"/>
        </w:rPr>
      </w:pPr>
    </w:p>
    <w:p w14:paraId="7FCBA689">
      <w:pPr>
        <w:rPr>
          <w:rFonts w:hint="eastAsia" w:ascii="宋体" w:hAnsi="宋体"/>
          <w:b/>
          <w:sz w:val="24"/>
        </w:rPr>
      </w:pPr>
    </w:p>
    <w:p w14:paraId="1942B68F">
      <w:pPr>
        <w:jc w:val="both"/>
        <w:rPr>
          <w:rFonts w:hint="eastAsia" w:ascii="宋体" w:hAnsi="宋体"/>
          <w:b/>
          <w:sz w:val="24"/>
        </w:rPr>
      </w:pPr>
    </w:p>
    <w:p w14:paraId="47BC2E2D">
      <w:pPr>
        <w:jc w:val="center"/>
        <w:rPr>
          <w:rFonts w:hint="eastAsia" w:ascii="宋体" w:hAnsi="宋体"/>
          <w:b/>
          <w:sz w:val="28"/>
          <w:szCs w:val="28"/>
        </w:rPr>
      </w:pPr>
      <w:bookmarkStart w:id="2" w:name="_GoBack"/>
      <w:bookmarkEnd w:id="2"/>
    </w:p>
    <w:p w14:paraId="09A0CA72">
      <w:pPr>
        <w:jc w:val="center"/>
        <w:rPr>
          <w:rFonts w:hint="eastAsia" w:ascii="宋体" w:hAnsi="宋体"/>
          <w:b/>
          <w:sz w:val="28"/>
          <w:szCs w:val="28"/>
        </w:rPr>
      </w:pPr>
    </w:p>
    <w:p w14:paraId="70E63CD6">
      <w:pPr>
        <w:ind w:firstLine="1400" w:firstLineChars="500"/>
        <w:jc w:val="both"/>
        <w:rPr>
          <w:rFonts w:hint="default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感染科省级重点专科建设信息化设备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 </w:t>
      </w:r>
    </w:p>
    <w:p w14:paraId="65555D11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3F0E5EA6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0AEA5365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0720E807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09B69DD6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1DC0DCCA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297D50E3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098D0452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5D3FE4D2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073F503E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7C84042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1A26BB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_GB2312" w:hAnsi="宋体" w:eastAsia="仿宋_GB2312"/>
          <w:sz w:val="24"/>
        </w:rPr>
        <w:t>感染科省级重点专科建设信息化设备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0DF84B0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_GB2312" w:hAnsi="宋体" w:eastAsia="仿宋_GB2312"/>
          <w:sz w:val="24"/>
        </w:rPr>
        <w:t>感染科省级重点专科建设信息化设备</w:t>
      </w:r>
    </w:p>
    <w:p w14:paraId="19B3262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4C1B5A39">
      <w:pPr>
        <w:pStyle w:val="26"/>
        <w:spacing w:after="150"/>
        <w:ind w:right="-180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color="auto" w:fill="FFFFFF"/>
          <w:lang w:val="en-US" w:eastAsia="zh-CN"/>
        </w:rPr>
        <w:t>按以下表格要求进行分项报价，本次项目所有设备须提供3年维保：</w:t>
      </w:r>
    </w:p>
    <w:tbl>
      <w:tblPr>
        <w:tblStyle w:val="12"/>
        <w:tblpPr w:leftFromText="180" w:rightFromText="180" w:vertAnchor="text" w:horzAnchor="page" w:tblpXSpec="center" w:tblpY="444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78"/>
        <w:gridCol w:w="5531"/>
        <w:gridCol w:w="474"/>
        <w:gridCol w:w="511"/>
        <w:gridCol w:w="559"/>
      </w:tblGrid>
      <w:tr w14:paraId="71B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80C48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感染科省级重点专科建设信息化设备报价表</w:t>
            </w:r>
          </w:p>
        </w:tc>
      </w:tr>
      <w:tr w14:paraId="0E3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2C76A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43D33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品项名称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57F0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00861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859C5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A2678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报价合计</w:t>
            </w:r>
          </w:p>
        </w:tc>
      </w:tr>
      <w:tr w14:paraId="28DF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2C9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一、信息化设备</w:t>
            </w:r>
          </w:p>
        </w:tc>
      </w:tr>
      <w:tr w14:paraId="099C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69C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64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医生查房推车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D6C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1.控制面板指示：一键开机状态指示灯；电池电量指示灯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2.工作台面：为防止物品掉落及液体渗漏，工作台面有三面凹型围挡，且围挡与工作台面一体成型，围挡高度≥25mm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3.整车材质：面板采用抑菌材料，耐受酒精、洗必泰、施康等医院常用消毒剂擦拭消毒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4.立柱升降：工作台面可高低升降，可靠耐用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5.线缆：整车线缆隐藏式设计（包含显示器电源线、数据线等），车体线缆无外露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6.脚轮：4个医疗级万向脚轮；带刹车功能，超静音、防滑、防缠绕脚轮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7.工作站放置位置：工作站主机为内嵌式设计，嵌入到车体中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8.键盘托盘: 键盘托完全隐藏在台面设备层内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9.配置要求：CPU：i5或以上，内存：≥8GB，固态硬盘≥256GB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10.天线：内置天线设计，无任何外露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11.无线网络：支持2.4G/5G双频网络，802.11 a/b/g/n/ac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12.接口：USB2.0 x2，USB3.0 x 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13.操作系统：支持Windows7/8/10，32bit/64bit;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14.电池放置位置：电池嵌入在车体底部，保持平衡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15.电池电芯：磷酸铁锂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16.循环次数：≥2000次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17.充电时间：充满电时间≤6小时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18.使用时间：连续使用≥8小时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19.电流电压保护：具有过压、过流、欠压、过充、过放保护功能；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20.显示器尺寸：≥21.5" ，分辨率：最佳分辨率≥1920×1080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21.支架调整角度：≥270°旋转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22.显示器支架：支持显示器升降，升降范围≥50mm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23. 医用环境：整车通过YY9706医用电气设备安全检测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24. 医用安全：整车通过GB9706.1医用电气设备安全检测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25. 高低温测试：整车通过GB/T14710安全检测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67F0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79C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570D">
            <w:pPr>
              <w:rPr>
                <w:rFonts w:hint="eastAsia"/>
                <w:sz w:val="21"/>
                <w:szCs w:val="21"/>
              </w:rPr>
            </w:pPr>
          </w:p>
        </w:tc>
      </w:tr>
      <w:tr w14:paraId="1637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8E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D6E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护理查房推车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123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1.控制面板指示：一键开机状态指示灯，电池电量指示灯，一键刹车按钮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2.台面把手：为方便悬挂输液袋、胶片带等日常使用物品，要求把手为弧形结构设计，把手与台面相互独立，非全闭环一体设计。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3.工作台面：为防止物品掉落，要求工作台面具有三面凹型围挡，三面凹型围挡高度≥25mm，凹型围挡要求与工作台面一体成型，防止液体渗漏，符合院感要求。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4.整车材质：车体表面抑菌处理，方便清洁； 面板采用高光、高亮的ABS抑菌材料，耐受酒精、洗必泰、施康等医院常用消毒剂擦拭消毒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5.线缆：整车线缆隐藏式设计（包含显示器电源线、数据线等），车体线缆无外露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6.抽屉：抽屉高度类型3个，插片式分区，可放置不同高度的耗材和工具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7.挂件：垃圾桶x2；锐器盒支架x1；压脉带盒及压脉带盒支架x1；手消液支架x1，凳子x1，杂物框x1，病历夹挂篮x1,台面贴膜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8.脚轮：4个医疗级万向脚轮；2个前轮带刹车功能，超静音、防滑、防缠绕脚轮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9.制动方式：一键电动刹车系统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10.工作站放置位置：工作站主机为内嵌式设计，嵌入到车体中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11.配置要求：CPU：i5或以上，内存：≥8GB，固态硬盘≥256GB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12.无线网络：支持2.4G/5G双频网络，802.11 a/b/g/n/ac；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13.外部接口：USB2.0 x2，USB3.0 x 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14.操作系统：支持Windows7/8/10，32bit/64bit;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15.电池电芯：磷酸铁锂，循环次数≥2000次；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16.漏电保护：具有外壳对地漏电电流保护、电击保护功能；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17.电流电压保护：具有过压、过流、欠压、过充、过放保护功能；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18.屏幕：≥21.5" ；16：9；分辨率≥1920×1080；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19.支架调整角度：≥270°旋转；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20.显示器支架：支持显示器升降，升降范围≥50mm；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8E97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9C6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7AA5">
            <w:pPr>
              <w:rPr>
                <w:rFonts w:hint="eastAsia"/>
                <w:sz w:val="21"/>
                <w:szCs w:val="21"/>
              </w:rPr>
            </w:pPr>
          </w:p>
        </w:tc>
      </w:tr>
      <w:tr w14:paraId="1ED9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F36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49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护理PDA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FF8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1.处理器：≥8核处理器，频率≥2.3GHZ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2.内存容量：≥4GB RAM，≥64GB ROM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3.电池：电池采用一体化设计，不可拆卸，容量≥4500mAh, Type-C接口，支持快充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4.按键：电源键，扫描键（左右），手电筒键，主页键，快捷功能键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5.屏幕：4.8-5英寸，适合单手操作，分辨率：≥1920 x1080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6.材质：采用塑胶外壳抑菌材料，抗菌率≥99%，符合GB21551.2-2010标准。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7.手电筒：双手电筒设置，分别方便护士察看病人瞳孔和夜间查房；在关机状态下也可以正常使用瞳孔手电筒。其中瞳孔手电为独立物理按键控制；查房手电为软件控制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8.重量：≤250g（含标准电池）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9.WIFI网络：支持802.11a/b/g/n/ac/ax协议，2.4G/5G双频，支持WiFi6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10.条码扫描引擎：支持一维、二维条码扫描，扫描范围：≥40°(水平), ≥ 30° (垂直)；扫描角度：旋转角度360°，上下倾角：±45°，左右倾角：±60°;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11.条码扫描窗：为方便医护人员无需弯曲手腕即可完成扫描，扫描窗口采用斜切角设计。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12.连续扫描：可支持条码屏幕倒转扫描和自动连续扫描，速度分快速、中速、慢速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13.操作系统：Android8.1或以上医疗操作系统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14.一键启动：设备具有一键启动功能，用户可自由设置相关软件的一键启动，提高工作效率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15.网络安全管理：不借助任何第三方软件即可实现对医院Wlan指定SSID和MAC地址双向绑定，确保设备院内医疗使用。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16.设备安全管理：提供设备安全管理方案，对软件的安装/卸载、设置、USB数据传输、文件管理（复制、修改、删除文件）进行密码保护。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17.医疗信息及通讯安全：PDA机身外部不得具备外置存储卡或SIM通讯卡插口、卡槽。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18.防摔抗震：可承受1.5m高处到地面的多次跌落，室温下6个面每面不少于2次跌落；1000次0.5米滚动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19.防护等级：≥IP67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4F18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216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1004">
            <w:pPr>
              <w:rPr>
                <w:rFonts w:hint="eastAsia"/>
                <w:sz w:val="21"/>
                <w:szCs w:val="21"/>
              </w:rPr>
            </w:pPr>
          </w:p>
        </w:tc>
      </w:tr>
      <w:tr w14:paraId="2E19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12D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56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65寸智慧屏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D747"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屏体要求：65英寸，液晶LED，A规屏，显示比例(16：9)，采用零贴合方式；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2..亮度：≥400cd/cm2  ；对比度：≥5000:1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3.整机前置接口需包括 Type-c、TOUCH USB ，HDMI IN，不少于3路USB3.0（需要同时支持安卓和Windows双系统）。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4.隐藏式菜单功能：整机在任意通道下，采用左右双侧边栏虚拟设计，可打开批注、运行列表、子菜单等，其中子菜单有音量+/-、亮度+/-、息屏、批注、主页、等功能。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内置超高清、超广角、低畸变1300万像素摄像头，摄像头支持D-FOV：100°广角，支持自动对焦，自动白平衡，背光补偿，支持3D降噪；内置6阵列麦克风，支持0-180°拾音角度，支持8米远场拾音，高性能音频算法，具备快速回声消除、环境噪声抑制、人声自动增益补偿功能，在安卓和 Windows 系统上使用视频会议软件可实现视频会议功能，支持Android和Windows双系统。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6.整机支持蓝牙Bluetooth 5.0标准，整机可通过蓝牙模块与蓝牙音箱连接，通过蓝牙音箱播放整机音频。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7.整机嵌入式安卓系统下互动白板支持十笔或以上书写及手势擦除。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8.整机嵌入式安卓系统下互动白板软件支持页面内容二维码扫描分享。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9.无需借助PC，整机可一键进行硬件自检，包括对RTC、PC模块、网络状况、WIFI模组等模块进行检测，并针对不同模块给出问题原因提示。</w:t>
            </w:r>
          </w:p>
          <w:p w14:paraId="115CDD22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10.配移动支架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二、OPS配置要求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 插拔式OPS微型PC设计，CPU ：≥I5；内存：≥8GB；硬盘：≥256G固态；开放式可插接INTEL规范接口（OPS接口），双面合计80针。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 支持WIFI无线网络，带双天线，带RJ45接口100M/1000Mbs。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3. 接口：LINE OUT≥1，MIC IN≥1，HDMI≥1，RJ45≥1，WIFI≥2，USB≥6。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 支持电源：AC input:100-240V/50-60HZ ；DC output:19V/5A。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D28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B85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D9C1">
            <w:pPr>
              <w:rPr>
                <w:rFonts w:hint="eastAsia"/>
                <w:sz w:val="21"/>
                <w:szCs w:val="21"/>
              </w:rPr>
            </w:pPr>
          </w:p>
        </w:tc>
      </w:tr>
      <w:tr w14:paraId="3231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7A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C3A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86寸智慧屏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8B9E">
            <w:pPr>
              <w:numPr>
                <w:ilvl w:val="0"/>
                <w:numId w:val="3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屏体要求：65英寸，液晶LED，A规屏，显示比例(16：9)，采用零贴合方式；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2..亮度：≥400cd/cm2  ；对比度：≥5000:1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3.整机前置接口需包括 Type-c、TOUCH USB ，HDMI IN，不少于3路USB3.0（需要同时支持安卓和Windows双系统）。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4.隐藏式菜单功能：整机在任意通道下，采用左右双侧边栏虚拟设计，可打开批注、运行列表、子菜单等，其中子菜单有音量+/-、亮度+/-、息屏、批注、主页、等功能。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内置超高清、超广角、低畸变1300万像素摄像头，摄像头支持D-FOV：100°广角，支持自动对焦，自动白平衡，背光补偿，支持3D降噪；内置6阵列麦克风，支持0-180°拾音角度，支持8米远场拾音，高性能音频算法，具备快速回声消除、环境噪声抑制、人声自动增益补偿功能，在安卓和 Windows 系统上使用视频会议软件可实现视频会议功能，支持Android和Windows双系统。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6.整机支持蓝牙Bluetooth 5.0标准，整机可通过蓝牙模块与蓝牙音箱连接，通过蓝牙音箱播放整机音频。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7.整机嵌入式安卓系统下互动白板支持十笔或以上书写及手势擦除。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8.整机嵌入式安卓系统下互动白板软件支持页面内容二维码扫描分享。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9.无需借助PC，整机可一键进行硬件自检，包括对RTC、PC模块、网络状况、WIFI模组等模块进行检测，并针对不同模块给出问题原因提示。</w:t>
            </w:r>
          </w:p>
          <w:p w14:paraId="794C8419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10.配移动支架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二、OPS配置要求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 插拔式OPS微型PC设计，CPU ：≥I5；内存：≥8GB；硬盘：≥256G固态；开放式可插接INTEL规范接口（OPS接口），双面合计80针。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 支持WIFI无线网络，带双天线，带RJ45接口100M/1000Mbs。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3. 接口：LINE OUT≥1，MIC IN≥1，HDMI≥1，RJ45≥1，WIFI≥2，USB≥6。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 支持电源：AC input:100-240V/50-60HZ ；DC output:19V/5A。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4FA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95C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F8E4">
            <w:pPr>
              <w:rPr>
                <w:rFonts w:hint="eastAsia"/>
                <w:sz w:val="21"/>
                <w:szCs w:val="21"/>
              </w:rPr>
            </w:pPr>
          </w:p>
        </w:tc>
      </w:tr>
      <w:tr w14:paraId="3BBD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6D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BEF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平板电脑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2EB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1、操作系统：≧MagicOS 7.2；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2、CPU：≧核数八核；频率≧4xCortex-A78 2.2GHz +4xCortex-A55 1.8GHz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3、GPU：≧Adreno 710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4、屏幕尺寸12.1英寸；机身重量≦560g；屏幕类型TFT LCD（IPS）；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屏幕分辨率≧2560 x 1600；屏幕比例16:10；触摸屏支持多点触控，最多支持10点触控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屏占比≧88%；屏幕刷新率屏幕最高刷新率最高为120Hz（支持3档，120HZ/90HZ/60HZ）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5、存储：运行内存（RAM）≧12GB；机身内存（ROM）≧256GB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6、拍摄功能：后置摄像头≧1300万像素（F2.0 AF）；前置摄像头≧800万像素（F2.2 FF）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7、电池：电池类型锂离子聚合物电池；电池容量≧8200mAh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快充功能支持（最大35W快充）；标配充电器35W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8、接口：充电接口类型Type-C；数据线接口Type-C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9、传输功能：WLAN支持；WLAN 热点支持；WLAN 频率2.4G/5G；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WLAN 协议WIFI 5，802.11 a/b/g/n/ac；WLAN 直连支持；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蓝牙BT 5.1，支持BLE、SBC、AAC、LDAC；OTG支持；WLAN 网络定位支持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10、多媒体：扬声器数量8；麦克风数量2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11、传感器：加速度传感器支持；重力传感器支持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4F3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2E0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EAF0">
            <w:pPr>
              <w:rPr>
                <w:rFonts w:hint="eastAsia"/>
                <w:sz w:val="21"/>
                <w:szCs w:val="21"/>
              </w:rPr>
            </w:pPr>
          </w:p>
        </w:tc>
      </w:tr>
      <w:tr w14:paraId="67EE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BCC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EE7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国产电脑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1D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（1）处理器：国产处理器，主频≥3.0GHz、核心≥8个；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（2）主板：与处理器相匹配芯片组主板；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（3）内存：≥16GB DDR4 内存；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（4）硬盘：≥256GB M.2 PCIe Gen4 SSD+2TB SATA HDD；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（5）显卡：独立显卡，≥4GB显存，≥VGA + HDMI视频输出接口；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（6）音频：集成声卡，≥5个音频接口；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（7）网卡：集成千兆网卡；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（8）主板扩展：≥4个PCIe，其中PCIe x16≥2个；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（9）I/O扩展：主板原生≥10个USB，其中USB3.2 Gen1≥8个；1个串口；1个RJ-45千兆网口；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（10）键盘鼠标：USB接口防泼溅键盘、光电鼠标；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（11）电源：≥200W电源；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（12）机箱：体积≤11L机箱，可选可拆洗防尘网；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（13）操作系统：预装国产统信桌面操作系统或麒麟桌面操作系统；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（14）显示器：≥23.8英寸液晶显示器，分辨率≥1920x1080、最大刷新率≥100Hz，亮度≥300 cd/m²VGA + HDMI+ DP接口带原厂HDMI 线缆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39C3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759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C4A">
            <w:pPr>
              <w:rPr>
                <w:rFonts w:hint="eastAsia"/>
                <w:sz w:val="21"/>
                <w:szCs w:val="21"/>
              </w:rPr>
            </w:pPr>
          </w:p>
        </w:tc>
      </w:tr>
      <w:tr w14:paraId="2D18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E37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64F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刷脸终端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A8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系统必须能与三明市第一医院现有HIS系统、统一支付对帐系统、医院财务系统、医院医保结算系统、医保业务综合应用系统（刷脸终端）、银行支付系统（含医疗综合支付服务平台）实现数据无缝连接，所有业务数据均能够相互调阅实现流程的一体化应用，若需要第三方协助以接口方式实现的，则所有接口改造费用必须包含在本次报价中                2、主控：（主板：安卓主板、操作系统：安卓8及以上操作系统、CPU≥高通骁龙SDM450 8 核、存储器≥4GB RAM+64GB ROM）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3、触控：（触控一体屏：主屏：8寸 TFT、全视角液晶屏分辨率：800x1280、全贴合电容多点触摸屏）                           4、摄像头模块：（3D摄像头：内置式、3D 结构光人脸识别摄像头。）  5、扫码模块：（扫码引擎：支持1D/2D条码阅读，具有高速读码性能，被扫描条码接近扫描窗口时，设备极速响应、快速识读，能识别多种码制。）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6、身份证模块：（二代身份证阅读器：支持第二代居民身份证读取（硬件解码技术），采用公安部安全芯片，全面保障信息安全。）         7、读卡器：（非接触式IC卡：支持ISO14443TypeA/B/ISO15693标准；支持卡片：MF1ICS50 、MF1ICL10、MF1ICS70等逻辑加密卡、银行卡、社保卡，接触式IC卡：1组接触式智能卡卡座，符合ISO7816 1/2/3 T=0 T=1；支持CPU卡、逻辑加密卡AT24、4442、4428等卡类型，具备短路保护功能，磁条卡：符合ISO7811；支持1/2/3磁道数据读取；拉卡速度： 10~120cm/s）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8、加密：（硬件安全模块：硬件安全加密模块符合《GM/T 0028-2014 密码模块安全技术要求》，密码模块等级为安全二级及以上）         9、防拆：终端机有防拆保护机制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10、功能按键：电源键（锁屏键）音量加/减键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11、通讯方式及外设：（通讯方式：满足国家相关标准要求，支持VPN 通讯协议、WIFI：2.4GHz&amp;5GHz，支持IEEE 802.11 a/b/g/n、蓝牙通信：支持蓝牙2.1+ EDR/3.0/4.0LE/4.2BLE、接口：支持USB、以太网、RS232）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B1F2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CB0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E3A3">
            <w:pPr>
              <w:rPr>
                <w:rFonts w:hint="eastAsia"/>
                <w:sz w:val="21"/>
                <w:szCs w:val="21"/>
              </w:rPr>
            </w:pPr>
          </w:p>
        </w:tc>
      </w:tr>
      <w:tr w14:paraId="665B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DF3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EE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热敏打印机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93B9B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1打印方式：热敏式                                          2、打印命令：兼容ESC/POS命令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3、分辨率：≥203DPI                                           4、打印速度：≥250mm/s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5、打印宽度：72mm                                           6、打印头温度探测：热敏电阻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7、打印头位置探测：微动开关                                 8、黑标位置探测：反射传感器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9、纸存在探测：穿透传感器                                  10、存储器：FLASH:60K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11、通讯接口：USB+网口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12、条码：UPC-A/UPC-E/JAN13(EAN13)/JAN8(EAN8)/ITF/CODABAR/CODE39/CODE93/CODE128/QRCODE/PDF417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13、纸厚(标签+底纸)：0.06-0.08mm/                            14、纸卷外径：最大83mm                                     15、出纸方式：上出纸，裁切                                   16、电源：输入：DC24V 2.5A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190C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FDD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F58">
            <w:pPr>
              <w:rPr>
                <w:rFonts w:hint="eastAsia"/>
                <w:sz w:val="21"/>
                <w:szCs w:val="21"/>
              </w:rPr>
            </w:pPr>
          </w:p>
        </w:tc>
      </w:tr>
      <w:tr w14:paraId="7FF8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516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二、无线网络覆盖</w:t>
            </w:r>
          </w:p>
        </w:tc>
      </w:tr>
      <w:tr w14:paraId="5F5B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FC2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17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外网无线AP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C03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(1)采用整机双频4流设计，可同时工作在802.11a/b/g/n/ac/ac wave2/ax模式；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(2)整机协商速率≥2.975Gbps，其中5G射频速率≥2.4G，2.4G射频速率≥0.575G；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(3)固化接口数≥2个，包括1个2.5G PSFP口，1个10M/100M/1000M电口；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(4)满足光、电同时上行且满足上行链路备份功能；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(5)⽀持内置物联网BLE5.1功能模块；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(6)支持WLAN上行链路检测功能，实时监测上行链路的可行性，当上行链路不可达时，将射频关闭，避免终端连接到不可用的网络。当上行链路恢复时，射频自动开启，无线终端可以正常接入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(7)支持ATF(Airtime Fairness，发送时间公平性)技术通过转移部分慢速设备的服务时间给快速设备，优化等待时间，使高协议终端可以充分利用空口，降低了低协议终端对高协议终端的影响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(8)在网络拥塞情况下，通过对终端发送的报文进行识别，在多业务并行处理时，可以对关键业务优先处理从而实现应用加速 (9)满足壁挂、吸顶和面板安装方式。     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DAD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33个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71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DD6C">
            <w:pPr>
              <w:rPr>
                <w:rFonts w:hint="eastAsia"/>
                <w:sz w:val="21"/>
                <w:szCs w:val="21"/>
              </w:rPr>
            </w:pPr>
          </w:p>
        </w:tc>
      </w:tr>
      <w:tr w14:paraId="63EE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A5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563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内网无线AP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5E8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(1)采用整机双频4流设计，可同时工作在802.11a/b/g/n/ac/ac wave2/ax模式；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(2)整机协商速率≥2.975Gbps，其中5G射频速率≥2.4G，2.4G射频速率≥0.575G；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(3)固化接口数≥2个，包括1个2.5G PSFP口，1个10M/100M/1000M电口；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(4)满足光、电同时上行且满足上行链路备份功能；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(5)⽀持内置物联网BLE5.1功能模块；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(6)支持WLAN上行链路检测功能，实时监测上行链路的可行性，当上行链路不可达时，将射频关闭，避免终端连接到不可用的网络。当上行链路恢复时，射频自动开启，无线终端可以正常接入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(7)支持ATF(Airtime Fairness，发送时间公平性)技术通过转移部分慢速设备的服务时间给快速设备，优化等待时间，使高协议终端可以充分利用空口，降低了低协议终端对高协议终端的影响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(8)在网络拥塞情况下，通过对终端发送的报文进行识别，在多业务并行处理时，可以对关键业务优先处理从而实现应用加速                                                                                        (9)满足壁挂、吸顶和面板安装方式。     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13EC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24个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3B9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D393">
            <w:pPr>
              <w:rPr>
                <w:rFonts w:hint="eastAsia"/>
                <w:sz w:val="21"/>
                <w:szCs w:val="21"/>
              </w:rPr>
            </w:pPr>
          </w:p>
        </w:tc>
      </w:tr>
      <w:tr w14:paraId="4D86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F1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CA8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AP授权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60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无线AP管理授权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BCC5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57个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2DE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2A03">
            <w:pPr>
              <w:rPr>
                <w:rFonts w:hint="eastAsia"/>
                <w:sz w:val="21"/>
                <w:szCs w:val="21"/>
              </w:rPr>
            </w:pPr>
          </w:p>
        </w:tc>
      </w:tr>
      <w:tr w14:paraId="5995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0F7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408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万兆POE三层管理交换机                  </w:t>
            </w:r>
          </w:p>
        </w:tc>
        <w:tc>
          <w:tcPr>
            <w:tcW w:w="3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CF4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（1）交换容量688Gbps/6.88Tbps，包转发率171Mpps/297Mpps；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（2）≥24个10/100/1000BASE-T自适应以太网端口（PoE+），≥4个1/10GE SFP+口，单端口最高可支持30W POE供电；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（3）支持MAC地址≥32K，ARP表项≥8K，整机最大路由地址表≥12K；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（4）支持基于端口速率百分比的风暴抑制、支持基于PPS的风暴抑制、支持基于bps的风暴抑制；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（6）支持802.1Q VLAN、支持4K VLAN、支持基于端口的VLAN，支持IPv4/IPv6静态路由、支持OSPFv1/v2，OSPFv3、支持IS-IS，IS-IS V6，支持等价路由，策略路由等；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（7）内置图形化智能管理中心，可实现全局配置及网管口配置、设备或组升级备份、监控及设备故障替换等；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（8）支持10KV业务端口防雷能力，使其在比较恶劣的工作环境中也能极大的降低雷击对设备的损坏率。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8DC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C8D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94D1">
            <w:pPr>
              <w:rPr>
                <w:rFonts w:hint="eastAsia"/>
                <w:sz w:val="21"/>
                <w:szCs w:val="21"/>
              </w:rPr>
            </w:pPr>
          </w:p>
        </w:tc>
      </w:tr>
      <w:tr w14:paraId="2379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190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三、系统集成：  本项目包含所有设备安装调试、网络线路布线理线、和相关辅材等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B95D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70D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318E">
            <w:pPr>
              <w:rPr>
                <w:rFonts w:hint="eastAsia"/>
                <w:sz w:val="21"/>
                <w:szCs w:val="21"/>
              </w:rPr>
            </w:pPr>
          </w:p>
        </w:tc>
      </w:tr>
      <w:tr w14:paraId="35D4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2822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项目总价</w:t>
            </w:r>
          </w:p>
        </w:tc>
        <w:tc>
          <w:tcPr>
            <w:tcW w:w="41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5A50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7CAFDA3D">
      <w:pPr>
        <w:pStyle w:val="5"/>
        <w:rPr>
          <w:rFonts w:hint="eastAsia"/>
          <w:lang w:val="en-US" w:eastAsia="zh-CN"/>
        </w:rPr>
      </w:pPr>
    </w:p>
    <w:p w14:paraId="785E8529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7018AEEC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50F52649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4BD7BD63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4774FD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6C6B5F0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174987A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6F00379D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6573B358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35BB9512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73C1DA4B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494174E7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78775CE8">
      <w:pPr>
        <w:pStyle w:val="24"/>
        <w:numPr>
          <w:ilvl w:val="0"/>
          <w:numId w:val="4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08691EFD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531EEBC8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26956B7F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4EA3BAEC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CFE8EEB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3CE1E5D4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9AD6210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01FAD25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544EEFB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422C463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7AD60819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3BD694A0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740718BF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D301F0E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05CDC4C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66056FB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2FC305DD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4CF5C3F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19380BC5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4DBAD4A3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E51C23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076FB562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4527AFD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4E75F4C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4DE1787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118B631B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3D5CEB2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2201B7E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417BE155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1AF0C3B4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41B32F7C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05BAC5AD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1D18FA62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7B4FBD32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3205B8AF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275AF94C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2EFC05E6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74CF2C00">
      <w:pPr>
        <w:spacing w:line="600" w:lineRule="exact"/>
        <w:rPr>
          <w:sz w:val="28"/>
          <w:szCs w:val="28"/>
        </w:rPr>
      </w:pPr>
    </w:p>
    <w:p w14:paraId="4E3BB5B7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79E86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63966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15DD9FE3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6BF0B">
    <w:pPr>
      <w:pStyle w:val="9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ADA71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5"/>
        <w:rFonts w:eastAsia="宋体"/>
        <w:sz w:val="28"/>
        <w:szCs w:val="28"/>
      </w:rPr>
    </w:pPr>
    <w:r>
      <w:rPr>
        <w:rStyle w:val="15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5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5"/>
        <w:rFonts w:hint="eastAsia" w:eastAsia="宋体"/>
        <w:sz w:val="28"/>
        <w:szCs w:val="28"/>
      </w:rPr>
      <w:t xml:space="preserve"> —</w:t>
    </w:r>
  </w:p>
  <w:p w14:paraId="4590AFCB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3923C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 w14:paraId="2CF99BA0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420A1"/>
    <w:multiLevelType w:val="singleLevel"/>
    <w:tmpl w:val="DEB420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B95DB31"/>
    <w:multiLevelType w:val="singleLevel"/>
    <w:tmpl w:val="3B95D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0F761D92"/>
    <w:rsid w:val="10114D93"/>
    <w:rsid w:val="10D358E2"/>
    <w:rsid w:val="12B53941"/>
    <w:rsid w:val="146C6E0E"/>
    <w:rsid w:val="17000058"/>
    <w:rsid w:val="1CB50B8F"/>
    <w:rsid w:val="1D046191"/>
    <w:rsid w:val="1D806065"/>
    <w:rsid w:val="1F2E5829"/>
    <w:rsid w:val="1F437B10"/>
    <w:rsid w:val="1FF860DA"/>
    <w:rsid w:val="21B45A63"/>
    <w:rsid w:val="247003EF"/>
    <w:rsid w:val="24FC63E6"/>
    <w:rsid w:val="261279AA"/>
    <w:rsid w:val="272C4E17"/>
    <w:rsid w:val="28361BC3"/>
    <w:rsid w:val="2A3B5473"/>
    <w:rsid w:val="2DCA0CC2"/>
    <w:rsid w:val="311E0417"/>
    <w:rsid w:val="35B83EE9"/>
    <w:rsid w:val="35E21EFB"/>
    <w:rsid w:val="36AC7FC1"/>
    <w:rsid w:val="38EE56E2"/>
    <w:rsid w:val="3BE47316"/>
    <w:rsid w:val="3C322097"/>
    <w:rsid w:val="3D5C120B"/>
    <w:rsid w:val="3E226E27"/>
    <w:rsid w:val="41D1259F"/>
    <w:rsid w:val="4319254A"/>
    <w:rsid w:val="44AF3251"/>
    <w:rsid w:val="44B624B1"/>
    <w:rsid w:val="44FE5FB8"/>
    <w:rsid w:val="498D0AE6"/>
    <w:rsid w:val="4A17126F"/>
    <w:rsid w:val="4D093838"/>
    <w:rsid w:val="51C16A58"/>
    <w:rsid w:val="56604AAB"/>
    <w:rsid w:val="58480756"/>
    <w:rsid w:val="5B1E5510"/>
    <w:rsid w:val="5DF05C9F"/>
    <w:rsid w:val="5F90586A"/>
    <w:rsid w:val="60676CC4"/>
    <w:rsid w:val="60AE403A"/>
    <w:rsid w:val="61077842"/>
    <w:rsid w:val="620E5F34"/>
    <w:rsid w:val="65881B26"/>
    <w:rsid w:val="65A46FA3"/>
    <w:rsid w:val="69653885"/>
    <w:rsid w:val="6A331144"/>
    <w:rsid w:val="6F1B5DC7"/>
    <w:rsid w:val="705428A9"/>
    <w:rsid w:val="728C7101"/>
    <w:rsid w:val="72BF0CD3"/>
    <w:rsid w:val="78F76AF6"/>
    <w:rsid w:val="79A045AB"/>
    <w:rsid w:val="7F4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页脚 Char"/>
    <w:basedOn w:val="14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7">
    <w:name w:val="页眉 Char"/>
    <w:basedOn w:val="14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14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1">
    <w:name w:val="日期 Char"/>
    <w:basedOn w:val="14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2">
    <w:name w:val="批注框文本 Char"/>
    <w:basedOn w:val="14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5940</Words>
  <Characters>7693</Characters>
  <Lines>3</Lines>
  <Paragraphs>1</Paragraphs>
  <TotalTime>2</TotalTime>
  <ScaleCrop>false</ScaleCrop>
  <LinksUpToDate>false</LinksUpToDate>
  <CharactersWithSpaces>8607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2025-06-09T11:28:52Z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8B77FCDC28614A00AC67EE19C4C2C0B5_13</vt:lpwstr>
  </property>
  <property fmtid="{D5CDD505-2E9C-101B-9397-08002B2CF9AE}" pid="4" name="KSOTemplateDocerSaveRecord">
    <vt:lpwstr>eyJoZGlkIjoiMzRjN2E5NDAwN2VkOWMwZWJkYmJhYWNhZGQwN2I0MWUiLCJ1c2VySWQiOiIzNTAwODIwIn0=</vt:lpwstr>
  </property>
</Properties>
</file>