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044ED">
      <w:pPr>
        <w:ind w:firstLine="1680" w:firstLineChars="200"/>
        <w:rPr>
          <w:b/>
          <w:sz w:val="84"/>
          <w:szCs w:val="84"/>
        </w:rPr>
      </w:pPr>
      <w:r>
        <w:rPr>
          <w:rFonts w:hint="eastAsia"/>
          <w:b/>
          <w:sz w:val="84"/>
          <w:szCs w:val="84"/>
        </w:rPr>
        <w:t>货物和服务项目</w:t>
      </w:r>
    </w:p>
    <w:p w14:paraId="13D7D215">
      <w:pPr>
        <w:rPr>
          <w:b/>
          <w:szCs w:val="21"/>
        </w:rPr>
      </w:pPr>
    </w:p>
    <w:p w14:paraId="533263C8">
      <w:pPr>
        <w:rPr>
          <w:b/>
          <w:szCs w:val="21"/>
        </w:rPr>
      </w:pPr>
    </w:p>
    <w:p w14:paraId="68E45E91">
      <w:pPr>
        <w:rPr>
          <w:b/>
          <w:szCs w:val="21"/>
        </w:rPr>
      </w:pPr>
    </w:p>
    <w:p w14:paraId="04353BCC">
      <w:pPr>
        <w:rPr>
          <w:b/>
          <w:szCs w:val="21"/>
        </w:rPr>
      </w:pPr>
    </w:p>
    <w:p w14:paraId="7702290A">
      <w:pPr>
        <w:rPr>
          <w:b/>
          <w:szCs w:val="21"/>
        </w:rPr>
      </w:pPr>
      <w:bookmarkStart w:id="2" w:name="_GoBack"/>
      <w:bookmarkEnd w:id="2"/>
    </w:p>
    <w:p w14:paraId="6F21B345">
      <w:pPr>
        <w:rPr>
          <w:b/>
          <w:szCs w:val="21"/>
        </w:rPr>
      </w:pPr>
    </w:p>
    <w:p w14:paraId="39D6B33D">
      <w:pPr>
        <w:tabs>
          <w:tab w:val="left" w:pos="0"/>
        </w:tabs>
        <w:jc w:val="center"/>
        <w:rPr>
          <w:b/>
          <w:sz w:val="32"/>
          <w:szCs w:val="32"/>
        </w:rPr>
      </w:pPr>
      <w:r>
        <w:rPr>
          <w:rFonts w:hint="eastAsia"/>
          <w:b/>
          <w:sz w:val="84"/>
          <w:szCs w:val="84"/>
        </w:rPr>
        <w:t>询价文件</w:t>
      </w:r>
    </w:p>
    <w:p w14:paraId="6515AC88">
      <w:pPr>
        <w:jc w:val="center"/>
        <w:rPr>
          <w:b/>
          <w:sz w:val="24"/>
        </w:rPr>
      </w:pPr>
    </w:p>
    <w:p w14:paraId="3E32A7C8">
      <w:pPr>
        <w:rPr>
          <w:b/>
          <w:sz w:val="24"/>
        </w:rPr>
      </w:pPr>
    </w:p>
    <w:p w14:paraId="0E702729">
      <w:pPr>
        <w:jc w:val="center"/>
        <w:rPr>
          <w:b/>
          <w:sz w:val="24"/>
        </w:rPr>
      </w:pPr>
    </w:p>
    <w:p w14:paraId="47EEE196">
      <w:pPr>
        <w:jc w:val="center"/>
        <w:rPr>
          <w:b/>
          <w:sz w:val="24"/>
        </w:rPr>
      </w:pPr>
    </w:p>
    <w:p w14:paraId="727E1FAB">
      <w:pPr>
        <w:jc w:val="center"/>
        <w:rPr>
          <w:b/>
          <w:sz w:val="28"/>
          <w:szCs w:val="28"/>
        </w:rPr>
      </w:pPr>
    </w:p>
    <w:p w14:paraId="5E761FA8">
      <w:pPr>
        <w:jc w:val="center"/>
        <w:rPr>
          <w:b/>
          <w:sz w:val="28"/>
          <w:szCs w:val="28"/>
        </w:rPr>
      </w:pPr>
    </w:p>
    <w:p w14:paraId="6D1B7441">
      <w:pPr>
        <w:ind w:firstLine="1400" w:firstLineChars="500"/>
        <w:rPr>
          <w:b/>
          <w:sz w:val="28"/>
          <w:u w:val="single"/>
        </w:rPr>
      </w:pPr>
      <w:r>
        <w:rPr>
          <w:rFonts w:hint="eastAsia"/>
          <w:b/>
          <w:sz w:val="28"/>
        </w:rPr>
        <w:t>询价项目名称：</w:t>
      </w:r>
      <w:r>
        <w:rPr>
          <w:rFonts w:hint="eastAsia"/>
          <w:b/>
          <w:sz w:val="28"/>
          <w:u w:val="single"/>
        </w:rPr>
        <w:t xml:space="preserve">全生命周期慢病管理指挥中心智慧屏  </w:t>
      </w:r>
    </w:p>
    <w:p w14:paraId="5AC3A63D">
      <w:pPr>
        <w:pStyle w:val="4"/>
        <w:spacing w:line="360" w:lineRule="auto"/>
        <w:ind w:firstLine="1391" w:firstLineChars="497"/>
        <w:rPr>
          <w:b/>
          <w:sz w:val="28"/>
          <w:u w:val="single"/>
        </w:rPr>
      </w:pPr>
      <w:r>
        <w:rPr>
          <w:rFonts w:hint="eastAsia"/>
          <w:b/>
          <w:sz w:val="28"/>
        </w:rPr>
        <w:t>招  标  人：</w:t>
      </w:r>
      <w:r>
        <w:rPr>
          <w:rFonts w:hint="eastAsia"/>
          <w:b/>
          <w:sz w:val="28"/>
          <w:u w:val="single"/>
        </w:rPr>
        <w:t>三明市第一医院</w:t>
      </w:r>
    </w:p>
    <w:p w14:paraId="2C678031">
      <w:pPr>
        <w:pStyle w:val="4"/>
        <w:spacing w:line="360" w:lineRule="auto"/>
        <w:ind w:firstLine="1383" w:firstLineChars="494"/>
        <w:rPr>
          <w:sz w:val="32"/>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2025年5月      </w:t>
      </w:r>
    </w:p>
    <w:p w14:paraId="5F06BBE0">
      <w:pPr>
        <w:pStyle w:val="7"/>
        <w:spacing w:line="420" w:lineRule="auto"/>
        <w:outlineLvl w:val="0"/>
        <w:rPr>
          <w:rFonts w:hAnsi="宋体"/>
          <w:b/>
          <w:sz w:val="24"/>
        </w:rPr>
      </w:pPr>
    </w:p>
    <w:p w14:paraId="007550AD">
      <w:pPr>
        <w:pStyle w:val="7"/>
        <w:spacing w:line="420" w:lineRule="auto"/>
        <w:ind w:firstLine="420"/>
        <w:jc w:val="center"/>
        <w:outlineLvl w:val="0"/>
        <w:rPr>
          <w:rFonts w:hAnsi="宋体"/>
          <w:b/>
          <w:sz w:val="24"/>
        </w:rPr>
      </w:pPr>
    </w:p>
    <w:p w14:paraId="0E00E17F">
      <w:pPr>
        <w:pStyle w:val="7"/>
        <w:jc w:val="center"/>
        <w:outlineLvl w:val="0"/>
        <w:rPr>
          <w:rFonts w:ascii="仿宋_GB2312" w:hAnsi="宋体"/>
          <w:b/>
          <w:bCs/>
          <w:sz w:val="32"/>
        </w:rPr>
      </w:pPr>
      <w:r>
        <w:rPr>
          <w:rFonts w:hint="eastAsia" w:ascii="仿宋_GB2312" w:hAnsi="宋体"/>
          <w:b/>
          <w:bCs/>
          <w:sz w:val="32"/>
        </w:rPr>
        <w:t>目   录</w:t>
      </w:r>
    </w:p>
    <w:p w14:paraId="5AE554D7">
      <w:pPr>
        <w:pStyle w:val="4"/>
        <w:snapToGrid w:val="0"/>
        <w:spacing w:line="420" w:lineRule="atLeast"/>
        <w:ind w:firstLine="560"/>
        <w:rPr>
          <w:rFonts w:ascii="仿宋_GB2312"/>
          <w:sz w:val="28"/>
        </w:rPr>
      </w:pPr>
    </w:p>
    <w:p w14:paraId="0261D550">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5FA1D0D3">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5DD64633">
      <w:pPr>
        <w:pStyle w:val="26"/>
        <w:rPr>
          <w:rFonts w:ascii="仿宋_GB2312" w:hAnsi="宋体" w:eastAsia="仿宋_GB2312"/>
          <w:b/>
          <w:color w:val="auto"/>
          <w:sz w:val="36"/>
        </w:rPr>
      </w:pPr>
    </w:p>
    <w:p w14:paraId="185407E8">
      <w:pPr>
        <w:pStyle w:val="26"/>
        <w:rPr>
          <w:rFonts w:ascii="仿宋_GB2312" w:hAnsi="宋体" w:eastAsia="仿宋_GB2312"/>
          <w:b/>
          <w:color w:val="auto"/>
          <w:sz w:val="36"/>
        </w:rPr>
      </w:pPr>
    </w:p>
    <w:p w14:paraId="6D019F22">
      <w:pPr>
        <w:spacing w:line="360" w:lineRule="auto"/>
        <w:jc w:val="center"/>
        <w:rPr>
          <w:rFonts w:ascii="仿宋" w:hAnsi="仿宋" w:eastAsia="仿宋" w:cs="仿宋"/>
          <w:b/>
          <w:bCs/>
          <w:sz w:val="32"/>
        </w:rPr>
      </w:pPr>
      <w:bookmarkStart w:id="0" w:name="_Toc101777609"/>
      <w:bookmarkStart w:id="1" w:name="_Toc247770230"/>
      <w:r>
        <w:rPr>
          <w:rFonts w:hint="eastAsia" w:ascii="仿宋_GB2312"/>
          <w:b/>
          <w:bCs/>
          <w:sz w:val="32"/>
        </w:rPr>
        <w:br w:type="page"/>
      </w:r>
      <w:r>
        <w:rPr>
          <w:rFonts w:hint="eastAsia" w:ascii="仿宋" w:hAnsi="仿宋" w:eastAsia="仿宋" w:cs="仿宋"/>
          <w:b/>
          <w:bCs/>
          <w:sz w:val="32"/>
        </w:rPr>
        <w:t>第一章    询价公告</w:t>
      </w:r>
    </w:p>
    <w:p w14:paraId="1963690C">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三明市第一医院就全生命周期慢病管理指挥中心智慧屏进行公开询价，欢迎国内具有资质条件的供应商前来参加报价。</w:t>
      </w:r>
    </w:p>
    <w:p w14:paraId="5EE74483">
      <w:pPr>
        <w:numPr>
          <w:ilvl w:val="0"/>
          <w:numId w:val="1"/>
        </w:numPr>
        <w:spacing w:line="360" w:lineRule="auto"/>
        <w:rPr>
          <w:rFonts w:ascii="仿宋" w:hAnsi="仿宋" w:eastAsia="仿宋" w:cs="仿宋"/>
          <w:sz w:val="24"/>
        </w:rPr>
      </w:pPr>
      <w:r>
        <w:rPr>
          <w:rFonts w:hint="eastAsia" w:ascii="仿宋" w:hAnsi="仿宋" w:eastAsia="仿宋" w:cs="仿宋"/>
          <w:sz w:val="24"/>
        </w:rPr>
        <w:t>项目名称：全生命周期慢病管理指挥中心智慧屏</w:t>
      </w:r>
    </w:p>
    <w:p w14:paraId="416034A0">
      <w:pPr>
        <w:numPr>
          <w:ilvl w:val="0"/>
          <w:numId w:val="1"/>
        </w:numPr>
        <w:spacing w:line="360" w:lineRule="auto"/>
        <w:rPr>
          <w:rFonts w:ascii="仿宋" w:hAnsi="仿宋" w:eastAsia="仿宋" w:cs="仿宋"/>
          <w:color w:val="000000"/>
          <w:kern w:val="0"/>
          <w:sz w:val="24"/>
          <w:szCs w:val="24"/>
        </w:rPr>
      </w:pPr>
      <w:r>
        <w:rPr>
          <w:rFonts w:hint="eastAsia" w:ascii="仿宋" w:hAnsi="仿宋" w:eastAsia="仿宋" w:cs="仿宋"/>
          <w:sz w:val="24"/>
        </w:rPr>
        <w:t>项目内容及要求：</w:t>
      </w:r>
    </w:p>
    <w:p w14:paraId="3B06354A">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ascii="仿宋" w:hAnsi="仿宋" w:eastAsia="仿宋" w:cs="仿宋"/>
          <w:b/>
          <w:bCs/>
          <w:sz w:val="22"/>
        </w:rPr>
      </w:pPr>
      <w:r>
        <w:rPr>
          <w:rFonts w:hint="eastAsia" w:ascii="仿宋" w:hAnsi="仿宋" w:eastAsia="仿宋" w:cs="仿宋"/>
          <w:b/>
          <w:bCs/>
          <w:sz w:val="22"/>
        </w:rPr>
        <w:t>产品要求</w:t>
      </w:r>
    </w:p>
    <w:tbl>
      <w:tblPr>
        <w:tblStyle w:val="15"/>
        <w:tblW w:w="9164" w:type="dxa"/>
        <w:tblInd w:w="-318" w:type="dxa"/>
        <w:tblLayout w:type="autofit"/>
        <w:tblCellMar>
          <w:top w:w="0" w:type="dxa"/>
          <w:left w:w="108" w:type="dxa"/>
          <w:bottom w:w="0" w:type="dxa"/>
          <w:right w:w="108" w:type="dxa"/>
        </w:tblCellMar>
      </w:tblPr>
      <w:tblGrid>
        <w:gridCol w:w="700"/>
        <w:gridCol w:w="1711"/>
        <w:gridCol w:w="5386"/>
        <w:gridCol w:w="659"/>
        <w:gridCol w:w="708"/>
      </w:tblGrid>
      <w:tr w14:paraId="589DC41D">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8A48C3B">
            <w:pPr>
              <w:widowControl/>
              <w:adjustRightInd/>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711" w:type="dxa"/>
            <w:tcBorders>
              <w:top w:val="single" w:color="auto" w:sz="4" w:space="0"/>
              <w:left w:val="nil"/>
              <w:bottom w:val="single" w:color="auto" w:sz="4" w:space="0"/>
              <w:right w:val="single" w:color="auto" w:sz="4" w:space="0"/>
            </w:tcBorders>
            <w:shd w:val="clear" w:color="auto" w:fill="auto"/>
            <w:vAlign w:val="center"/>
          </w:tcPr>
          <w:p w14:paraId="504A49F5">
            <w:pPr>
              <w:widowControl/>
              <w:adjustRightInd/>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产品类别</w:t>
            </w:r>
          </w:p>
        </w:tc>
        <w:tc>
          <w:tcPr>
            <w:tcW w:w="5386" w:type="dxa"/>
            <w:tcBorders>
              <w:top w:val="single" w:color="auto" w:sz="4" w:space="0"/>
              <w:left w:val="nil"/>
              <w:bottom w:val="single" w:color="auto" w:sz="4" w:space="0"/>
              <w:right w:val="single" w:color="auto" w:sz="4" w:space="0"/>
            </w:tcBorders>
            <w:shd w:val="clear" w:color="auto" w:fill="auto"/>
            <w:vAlign w:val="center"/>
          </w:tcPr>
          <w:p w14:paraId="39F3E126">
            <w:pPr>
              <w:widowControl/>
              <w:adjustRightInd/>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规格要求</w:t>
            </w:r>
          </w:p>
        </w:tc>
        <w:tc>
          <w:tcPr>
            <w:tcW w:w="659" w:type="dxa"/>
            <w:tcBorders>
              <w:top w:val="single" w:color="auto" w:sz="4" w:space="0"/>
              <w:left w:val="nil"/>
              <w:bottom w:val="single" w:color="auto" w:sz="4" w:space="0"/>
              <w:right w:val="single" w:color="auto" w:sz="4" w:space="0"/>
            </w:tcBorders>
            <w:shd w:val="clear" w:color="auto" w:fill="auto"/>
            <w:vAlign w:val="center"/>
          </w:tcPr>
          <w:p w14:paraId="5CAF61A8">
            <w:pPr>
              <w:widowControl/>
              <w:adjustRightInd/>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14:paraId="16C1C08E">
            <w:pPr>
              <w:widowControl/>
              <w:adjustRightInd/>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r>
      <w:tr w14:paraId="0D990A71">
        <w:tblPrEx>
          <w:tblCellMar>
            <w:top w:w="0" w:type="dxa"/>
            <w:left w:w="108" w:type="dxa"/>
            <w:bottom w:w="0" w:type="dxa"/>
            <w:right w:w="108" w:type="dxa"/>
          </w:tblCellMar>
        </w:tblPrEx>
        <w:tc>
          <w:tcPr>
            <w:tcW w:w="700" w:type="dxa"/>
            <w:tcBorders>
              <w:top w:val="nil"/>
              <w:left w:val="single" w:color="auto" w:sz="4" w:space="0"/>
              <w:bottom w:val="single" w:color="auto" w:sz="4" w:space="0"/>
              <w:right w:val="single" w:color="auto" w:sz="4" w:space="0"/>
            </w:tcBorders>
            <w:shd w:val="clear" w:color="auto" w:fill="auto"/>
            <w:vAlign w:val="center"/>
          </w:tcPr>
          <w:p w14:paraId="282D7005">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711" w:type="dxa"/>
            <w:tcBorders>
              <w:top w:val="nil"/>
              <w:left w:val="nil"/>
              <w:bottom w:val="single" w:color="auto" w:sz="4" w:space="0"/>
              <w:right w:val="single" w:color="auto" w:sz="4" w:space="0"/>
            </w:tcBorders>
            <w:shd w:val="clear" w:color="auto" w:fill="auto"/>
            <w:vAlign w:val="center"/>
          </w:tcPr>
          <w:p w14:paraId="761C19B3">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86寸</w:t>
            </w:r>
          </w:p>
          <w:p w14:paraId="67D0FE07">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智慧屏</w:t>
            </w:r>
          </w:p>
          <w:p w14:paraId="71A34A08">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（移动推车款）</w:t>
            </w:r>
          </w:p>
        </w:tc>
        <w:tc>
          <w:tcPr>
            <w:tcW w:w="5386" w:type="dxa"/>
            <w:tcBorders>
              <w:top w:val="nil"/>
              <w:left w:val="nil"/>
              <w:bottom w:val="single" w:color="auto" w:sz="4" w:space="0"/>
              <w:right w:val="single" w:color="auto" w:sz="4" w:space="0"/>
            </w:tcBorders>
            <w:shd w:val="clear" w:color="auto" w:fill="auto"/>
            <w:vAlign w:val="center"/>
          </w:tcPr>
          <w:p w14:paraId="65542EE4">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1.整机屏幕边缘采用金属包边防护，外部无任何可见内部功能模块及连接线，有效屏蔽内部电路器件辐射，适应多种使用环境，整机默认附带不少于2只磁吸式触控笔，可供随时取用。</w:t>
            </w:r>
          </w:p>
          <w:p w14:paraId="16309131">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2.液晶屏显示尺寸≥86英寸，采用A+规屏；显示比例16:9；分辨率≥3840*2160，可视角度≥178°，屏幕显示灰度分辨率等级达到256级以上灰阶。</w:t>
            </w:r>
          </w:p>
          <w:p w14:paraId="06E65658">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3.屏幕贴合方式：采用零贴合技术。钢化玻璃和液晶显示层间隙＜0.5mm，减小显示面板与玻璃间的偏光、散射，画面显示更加清晰通透。</w:t>
            </w:r>
          </w:p>
          <w:p w14:paraId="718A8E96">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4. 屏体采用物理防蓝光设计，无需通过按键操作，默认达到防蓝光效果，蓝光防护等级达到RG0。</w:t>
            </w:r>
          </w:p>
          <w:p w14:paraId="39C5F5C0">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5. 整机内置≥6个非独立外扩展的麦克风，可用于音频进行采集，拾音角度≥180°，拾音距离≥8米。</w:t>
            </w:r>
          </w:p>
          <w:p w14:paraId="3F44192B">
            <w:pPr>
              <w:pStyle w:val="5"/>
              <w:rPr>
                <w:rFonts w:asciiTheme="minorEastAsia" w:hAnsiTheme="minorEastAsia" w:eastAsiaTheme="minorEastAsia"/>
                <w:sz w:val="21"/>
                <w:szCs w:val="21"/>
                <w:lang w:val="en-US" w:bidi="ar-SA"/>
              </w:rPr>
            </w:pPr>
            <w:r>
              <w:rPr>
                <w:rFonts w:asciiTheme="minorEastAsia" w:hAnsiTheme="minorEastAsia" w:eastAsiaTheme="minorEastAsia"/>
                <w:sz w:val="21"/>
                <w:szCs w:val="21"/>
                <w:lang w:val="en-US" w:bidi="ar-SA"/>
              </w:rPr>
              <w:t xml:space="preserve">6.最大屏幕亮度≥300cd/m²，亮度对比度≥1200:1，亮度均匀性≥70%，无闪烁，闪烁等级≤-30db（60Hz），亮度可视角垂直≥60°。 </w:t>
            </w:r>
          </w:p>
          <w:p w14:paraId="1A5DB2F3">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7.为有效、及时解决故障，同时防止无意触碰，整机须具备侧置安卓系统还原按键，无需专业人员即可轻松解决系统故障。</w:t>
            </w:r>
          </w:p>
          <w:p w14:paraId="3F210DC0">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8. 须采用国产化的主要元器件，包括但不限于CPU处理单元、可编程逻辑芯片、时钟芯片等。</w:t>
            </w:r>
          </w:p>
          <w:p w14:paraId="241567B3">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9.嵌入式Android操作系统下，内置互动白板书写完成后须支持本地保存、邮件分享、微信等主流应用扫码带走功能，方便实时保存书写内容。</w:t>
            </w:r>
          </w:p>
          <w:p w14:paraId="1FC274B1">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10.整机须内置非独立外扩展的摄像头，镜头水平视角≥80°、垂直视角≥50°，可拍摄不低于1080P的视频画面，须支持自动白平衡调节、自动曝光调节、PTZ调节，TV畸变＜2%。</w:t>
            </w:r>
          </w:p>
          <w:p w14:paraId="5B2FDEB2">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11.嵌入式Android操作系统下内置壁纸功能，可选动态壁纸和静态壁纸，自带壁纸总数量≥10张，也可以根据实际需要导入自定义壁纸。</w:t>
            </w:r>
          </w:p>
          <w:p w14:paraId="6D52FF16">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12. 在任意信号源通道下，须提供两侧悬浮按钮，操作者可通过悬浮按钮进行系统间切换，手动调节屏幕亮度和声音，支持查看所有正在运行的任务，快速切换当前任务。</w:t>
            </w:r>
          </w:p>
          <w:p w14:paraId="12BF65AB">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13.整机须具有屏幕亮度自适应功能，在不同光照环境下设备可自行改善显示效果，此功能可手动开启或关闭。</w:t>
            </w:r>
          </w:p>
          <w:p w14:paraId="418475C2">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14.整机须支持Windows和Android双系统， 只需一根网线，Windows和Android双系统均可实现上网功能。</w:t>
            </w:r>
          </w:p>
          <w:p w14:paraId="10CFA3AE">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15.为充分满足用户实际使用需求，设备前置面板需具有以下无转接接口：≥1*Type-C、≥2*USB Type-A。侧置需具有以下无转接接口：≥2*HDMI IN、≥1*HDMI OUT、≥1*MIC IN、≥1路MIC OUT、≥1*RJ45、≥1*COM、≥1*USB Type-A、≥1*USB Type-B。</w:t>
            </w:r>
          </w:p>
          <w:p w14:paraId="22DDCB45">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16.屏幕表面采用高品质3.2mm厚防眩光钢化玻璃，透光率≥88%，表面硬度≥7H。使得屏幕显示更加通透，画质更加清晰。</w:t>
            </w:r>
          </w:p>
          <w:p w14:paraId="5C8A6F1D">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17.内置安卓系统， ROM≥32GB，RAM≥4GB，系统版本≥Android 9.0，支持在线升级；安卓主页面提供≥6个应用程序，并可以根据使用需求随意替换。</w:t>
            </w:r>
          </w:p>
          <w:p w14:paraId="43F4D6BA">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18.设备须提供标准模块化电脑（OPS）通用的80针接口，拒绝厂商专用接口，以满足后续模块化电脑配置升级的需求。</w:t>
            </w:r>
          </w:p>
          <w:p w14:paraId="4669F456">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19.嵌入式Android操作系统下内置信息窗功能，无需打开APP即可实现不少于10张自定义图片的滚动播放。</w:t>
            </w:r>
          </w:p>
          <w:p w14:paraId="30782488">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20.嵌入式Android操作系统下，内置互动白板须支持2种以上书写笔头，书写延时≤25ms，支持8种以上书写颜色，使用者可对书写内容进行选择，移动，缩放，删除。</w:t>
            </w:r>
          </w:p>
          <w:p w14:paraId="7D2AB367">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21.支持屏幕密码锁功能，可自定义解锁密码，开启后可锁定屏幕。</w:t>
            </w:r>
          </w:p>
          <w:p w14:paraId="7013ABFC">
            <w:pPr>
              <w:pStyle w:val="5"/>
              <w:rPr>
                <w:rFonts w:cs="Times New Roman" w:asciiTheme="minorEastAsia" w:hAnsiTheme="minorEastAsia" w:eastAsiaTheme="minorEastAsia"/>
                <w:kern w:val="2"/>
                <w:sz w:val="21"/>
                <w:szCs w:val="21"/>
                <w:lang w:val="en-US" w:bidi="ar-SA"/>
              </w:rPr>
            </w:pPr>
            <w:r>
              <w:rPr>
                <w:rFonts w:hint="eastAsia" w:asciiTheme="minorEastAsia" w:hAnsiTheme="minorEastAsia" w:eastAsiaTheme="minorEastAsia"/>
                <w:sz w:val="21"/>
                <w:szCs w:val="21"/>
                <w:lang w:val="en-US"/>
              </w:rPr>
              <w:t>22.OPS:</w:t>
            </w:r>
            <w:r>
              <w:rPr>
                <w:rFonts w:hint="eastAsia" w:cs="Times New Roman" w:asciiTheme="minorEastAsia" w:hAnsiTheme="minorEastAsia" w:eastAsiaTheme="minorEastAsia"/>
                <w:kern w:val="2"/>
                <w:sz w:val="21"/>
                <w:szCs w:val="21"/>
                <w:lang w:val="en-US" w:bidi="ar-SA"/>
              </w:rPr>
              <w:t xml:space="preserve"> I5-8500  8GB+256GB /正版win10（专业版）</w:t>
            </w:r>
          </w:p>
          <w:p w14:paraId="0A0B9246">
            <w:pPr>
              <w:pStyle w:val="5"/>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23.移动推车</w:t>
            </w:r>
          </w:p>
          <w:p w14:paraId="7309B5C1">
            <w:pPr>
              <w:pStyle w:val="5"/>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bidi="ar-SA"/>
              </w:rPr>
              <w:t>24.受安装环境限制，机器外观需为白色</w:t>
            </w:r>
          </w:p>
        </w:tc>
        <w:tc>
          <w:tcPr>
            <w:tcW w:w="659" w:type="dxa"/>
            <w:tcBorders>
              <w:top w:val="nil"/>
              <w:left w:val="nil"/>
              <w:bottom w:val="single" w:color="auto" w:sz="4" w:space="0"/>
              <w:right w:val="single" w:color="auto" w:sz="4" w:space="0"/>
            </w:tcBorders>
            <w:shd w:val="clear" w:color="auto" w:fill="auto"/>
            <w:vAlign w:val="center"/>
          </w:tcPr>
          <w:p w14:paraId="2FE88816">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708" w:type="dxa"/>
            <w:tcBorders>
              <w:top w:val="nil"/>
              <w:left w:val="nil"/>
              <w:bottom w:val="single" w:color="auto" w:sz="4" w:space="0"/>
              <w:right w:val="single" w:color="auto" w:sz="4" w:space="0"/>
            </w:tcBorders>
            <w:shd w:val="clear" w:color="auto" w:fill="auto"/>
            <w:vAlign w:val="center"/>
          </w:tcPr>
          <w:p w14:paraId="63335294">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台</w:t>
            </w:r>
          </w:p>
        </w:tc>
      </w:tr>
      <w:tr w14:paraId="061165D0">
        <w:tblPrEx>
          <w:tblCellMar>
            <w:top w:w="0" w:type="dxa"/>
            <w:left w:w="108" w:type="dxa"/>
            <w:bottom w:w="0" w:type="dxa"/>
            <w:right w:w="108" w:type="dxa"/>
          </w:tblCellMar>
        </w:tblPrEx>
        <w:tc>
          <w:tcPr>
            <w:tcW w:w="700" w:type="dxa"/>
            <w:tcBorders>
              <w:top w:val="nil"/>
              <w:left w:val="single" w:color="auto" w:sz="4" w:space="0"/>
              <w:bottom w:val="single" w:color="auto" w:sz="4" w:space="0"/>
              <w:right w:val="single" w:color="auto" w:sz="4" w:space="0"/>
            </w:tcBorders>
            <w:shd w:val="clear" w:color="000000" w:fill="FFFFFF"/>
            <w:vAlign w:val="center"/>
          </w:tcPr>
          <w:p w14:paraId="0062544F">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1711" w:type="dxa"/>
            <w:tcBorders>
              <w:top w:val="nil"/>
              <w:left w:val="nil"/>
              <w:bottom w:val="single" w:color="auto" w:sz="4" w:space="0"/>
              <w:right w:val="single" w:color="auto" w:sz="4" w:space="0"/>
            </w:tcBorders>
            <w:shd w:val="clear" w:color="000000" w:fill="FFFFFF"/>
            <w:vAlign w:val="center"/>
          </w:tcPr>
          <w:p w14:paraId="300D656C">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86寸</w:t>
            </w:r>
          </w:p>
          <w:p w14:paraId="23F9C201">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智慧屏（壁挂款）</w:t>
            </w:r>
          </w:p>
        </w:tc>
        <w:tc>
          <w:tcPr>
            <w:tcW w:w="5386" w:type="dxa"/>
            <w:tcBorders>
              <w:top w:val="nil"/>
              <w:left w:val="nil"/>
              <w:bottom w:val="single" w:color="auto" w:sz="4" w:space="0"/>
              <w:right w:val="single" w:color="auto" w:sz="4" w:space="0"/>
            </w:tcBorders>
            <w:shd w:val="clear" w:color="000000" w:fill="FFFFFF"/>
            <w:vAlign w:val="center"/>
          </w:tcPr>
          <w:p w14:paraId="016BE9CA">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 整机屏幕边缘采用金属包边防护，外部无任何可见内部功能模块连接线，有效屏蔽内部电路器件辐射，适应多种环境。</w:t>
            </w:r>
          </w:p>
          <w:p w14:paraId="522507A7">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2.为满足办公场景使用，液晶屏显示尺寸≥86 英寸；采用 A+规屏；显示比例 16:9；分辨率≥3840*2160，可视角度≥178°，屏幕显示灰度分辨率等级达到256级以上灰阶。</w:t>
            </w:r>
          </w:p>
          <w:p w14:paraId="184F4F0C">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屏幕贴合方式：采用零贴合技术。钢化玻璃和液晶显示层间隙＜0.5mm，减小显示面板与玻璃间的偏光、散射，画面显示更加清晰通透。</w:t>
            </w:r>
          </w:p>
          <w:p w14:paraId="19A6A906">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 结合使用情况，保证设备抗压能力以及显示能力，屏幕表面采用高品质 3.2mm 厚防眩光钢化玻璃，透光率≥91%，表面硬度≥8H。使得屏幕显示更加通透，画质更加清晰。</w:t>
            </w:r>
          </w:p>
          <w:p w14:paraId="735A04F8">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 为保证在长期使用此设备下，减少蓝光对视力的损害，屏体采用物理防蓝光设计，无需通过按键操作，默认达到防蓝光效果，蓝光防护等级达到RG0。</w:t>
            </w:r>
          </w:p>
          <w:p w14:paraId="0FB67844">
            <w:pPr>
              <w:widowControl/>
              <w:adjustRightInd/>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6.最大屏幕亮度≥300cd/m²，亮度对比度≥1000:1，亮度均匀性≥70%，无闪烁，闪烁等级≤-30db（60Hz），亮度可视角垂直≥60°。</w:t>
            </w:r>
          </w:p>
          <w:p w14:paraId="5934C404">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 内置安卓系统，ROM≥32GB，RAM≥4GB，系统版本≥Android 9.0，支持在线升级；安卓主页面提供不少于 6 个应用程序，并可以根据教学需求随意替换。</w:t>
            </w:r>
          </w:p>
          <w:p w14:paraId="14E826A3">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 须采用国产化的主要元器件，包括但不限于CPU处理单元、可编程逻辑芯片、时钟芯片等。</w:t>
            </w:r>
          </w:p>
          <w:p w14:paraId="4848E207">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 为方便操作，整机采用简洁化设计，产品前面板独立物理按钮数量≤ 1，可实现开机、息屏、唤醒、长按关机功能。</w:t>
            </w:r>
          </w:p>
          <w:p w14:paraId="4AEAED91">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 为充分满足办公环境实际使用需求，设备前置面板需具有以下无转接接口：≥1*Type-C、≥2*USB Type-A。</w:t>
            </w:r>
          </w:p>
          <w:p w14:paraId="003A3604">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 为方便使用，设备侧置需具有以下无转接接口：≥2*HDMI IN、≥1*HDMI OUT、≥1*MIC IN、≥1路 MIC OUT、≥1*RJ45、≥1*COM、≥1*USB Type-A、≥1*USB Type-B。</w:t>
            </w:r>
          </w:p>
          <w:p w14:paraId="3934156C">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 为有效、及时解决故障，同时防止无意触碰，整机须具备后置安卓系统还原按键，无需专业人员即可轻松解决电脑系统故障。</w:t>
            </w:r>
          </w:p>
          <w:p w14:paraId="4F389889">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 采用红外感应技术，在双系统下均支持不少于20点触控，触摸分辨率≥32768（W）*32768（D）；触摸精度≤±1mm；触摸高度≤2mm；最小识别直径≤2mm。</w:t>
            </w:r>
          </w:p>
          <w:p w14:paraId="406F1377">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14. 支持在无外接 OPS 电脑状态下，互动白板支持不同背景颜色，可根据学科需要进行调整，白板可增加书写页面，最大可支持 100 页，书写完成后可导出PDF等格式。</w:t>
            </w:r>
          </w:p>
          <w:p w14:paraId="271E9993">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 须支持显示调节功能，可根据播放素材或实际使用需要设置视频模式、文本模式、自动模式等，兼顾视力保护与使用习惯。</w:t>
            </w:r>
          </w:p>
          <w:p w14:paraId="6292192A">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 须支持视频输入设置功能，可对通过HDMI 或Type-C 输入的视频源进行拉伸设置，使非标准16:9 画面输入后可完美适配屏幕比例。</w:t>
            </w:r>
          </w:p>
          <w:p w14:paraId="535F6C75">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17.根据日常使用环境，须支持断点续传功能，终端升级过程中发生网络中断、断电重启，恢复后可断点续传，避免升级失败。</w:t>
            </w:r>
          </w:p>
          <w:p w14:paraId="4848994E">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18．整机内置无线网卡，支持在嵌入式系统下接入2.4G/5G 双频无线网络，支持 802.11 a/b/g/n/ac 无线网络协议，支持 MIMO，支持双天线。</w:t>
            </w:r>
          </w:p>
          <w:p w14:paraId="0495A042">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19．无需借助 OPS 模块，整机内置专业软硬件自检维护工作可一键进行快速自检，也可以对硬件、网络、投屏、白板、应用市场等单个模块进行检测，针对不同模块给出问题原因提示，检测完成后支持导出诊断报告。</w:t>
            </w:r>
          </w:p>
          <w:p w14:paraId="05356FFA">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20．须支持在无外接 OPS 电脑状态下，嵌入式Android操作系统下可实现 windows 系统中常用的应用功能，如白板书写、WPS 软件使用、网页浏览、图片浏览、视频播放，提供设备同品牌APP 应用市场。</w:t>
            </w:r>
          </w:p>
          <w:p w14:paraId="1B028450">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21.考虑场景多样性， 须支持在无外接OPS 电脑状态下， 整机内置安卓应用市场，操作者可直接打开应用市场自主安装应用，应用市场内须配置不少于100个第三方应用。</w:t>
            </w:r>
          </w:p>
          <w:p w14:paraId="1279BFA9">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22.OPS: I5-8500  8GB+256GB /正版win10（专业版）</w:t>
            </w:r>
          </w:p>
          <w:p w14:paraId="09E1AF5D">
            <w:pPr>
              <w:widowControl/>
              <w:adjustRightInd/>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23.壁挂支架</w:t>
            </w:r>
          </w:p>
          <w:p w14:paraId="621504F1">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24.受安装环境限制：</w:t>
            </w:r>
          </w:p>
          <w:p w14:paraId="741B26D5">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（1）机器外面尺寸不得大于：长1955mm*高1160mm*厚100mm（含壁挂支架厚度不大于135mm）；</w:t>
            </w:r>
          </w:p>
          <w:p w14:paraId="78F32DAE">
            <w:pPr>
              <w:pStyle w:val="5"/>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（2）与安装外框架的距离不得大于：上下40mm，左右30mm；</w:t>
            </w:r>
          </w:p>
          <w:p w14:paraId="27E4B3C8">
            <w:pPr>
              <w:pStyle w:val="5"/>
              <w:rPr>
                <w:rFonts w:asciiTheme="minorEastAsia" w:hAnsiTheme="minorEastAsia" w:eastAsiaTheme="minorEastAsia"/>
                <w:sz w:val="22"/>
                <w:szCs w:val="22"/>
              </w:rPr>
            </w:pPr>
            <w:r>
              <w:rPr>
                <w:rFonts w:hint="eastAsia" w:asciiTheme="minorEastAsia" w:hAnsiTheme="minorEastAsia" w:eastAsiaTheme="minorEastAsia"/>
                <w:sz w:val="21"/>
                <w:szCs w:val="21"/>
                <w:lang w:val="en-US" w:bidi="ar-SA"/>
              </w:rPr>
              <w:t>（3）机器外观需为白色</w:t>
            </w:r>
          </w:p>
        </w:tc>
        <w:tc>
          <w:tcPr>
            <w:tcW w:w="659" w:type="dxa"/>
            <w:tcBorders>
              <w:top w:val="nil"/>
              <w:left w:val="nil"/>
              <w:bottom w:val="single" w:color="auto" w:sz="4" w:space="0"/>
              <w:right w:val="single" w:color="auto" w:sz="4" w:space="0"/>
            </w:tcBorders>
            <w:shd w:val="clear" w:color="000000" w:fill="FFFFFF"/>
            <w:vAlign w:val="center"/>
          </w:tcPr>
          <w:p w14:paraId="43D79B1B">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708" w:type="dxa"/>
            <w:tcBorders>
              <w:top w:val="nil"/>
              <w:left w:val="nil"/>
              <w:bottom w:val="single" w:color="auto" w:sz="4" w:space="0"/>
              <w:right w:val="single" w:color="auto" w:sz="4" w:space="0"/>
            </w:tcBorders>
            <w:shd w:val="clear" w:color="000000" w:fill="FFFFFF"/>
            <w:vAlign w:val="center"/>
          </w:tcPr>
          <w:p w14:paraId="781A42AC">
            <w:pPr>
              <w:widowControl/>
              <w:adjustRightInd/>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台</w:t>
            </w:r>
          </w:p>
        </w:tc>
      </w:tr>
    </w:tbl>
    <w:p w14:paraId="2FF96556">
      <w:pPr>
        <w:widowControl/>
        <w:tabs>
          <w:tab w:val="left" w:pos="840"/>
          <w:tab w:val="left" w:pos="945"/>
          <w:tab w:val="left" w:pos="1050"/>
        </w:tabs>
        <w:spacing w:line="360" w:lineRule="auto"/>
        <w:ind w:right="155" w:rightChars="50" w:firstLine="221" w:firstLineChars="100"/>
        <w:rPr>
          <w:rFonts w:ascii="仿宋" w:hAnsi="仿宋" w:eastAsia="仿宋" w:cs="仿宋"/>
          <w:b/>
          <w:bCs/>
          <w:sz w:val="22"/>
        </w:rPr>
      </w:pPr>
      <w:r>
        <w:rPr>
          <w:rFonts w:hint="eastAsia" w:ascii="仿宋" w:hAnsi="仿宋" w:eastAsia="仿宋" w:cs="仿宋"/>
          <w:b/>
          <w:bCs/>
          <w:sz w:val="22"/>
        </w:rPr>
        <w:t>2.服务要求</w:t>
      </w:r>
    </w:p>
    <w:p w14:paraId="6EEF711D">
      <w:pPr>
        <w:spacing w:line="300" w:lineRule="auto"/>
        <w:ind w:firstLine="480" w:firstLineChars="200"/>
        <w:jc w:val="left"/>
        <w:rPr>
          <w:rFonts w:ascii="仿宋_GB2312"/>
          <w:sz w:val="24"/>
        </w:rPr>
      </w:pPr>
      <w:r>
        <w:rPr>
          <w:rFonts w:hint="eastAsia" w:ascii="仿宋_GB2312"/>
          <w:sz w:val="24"/>
        </w:rPr>
        <w:t>（1）合同签订后2日内完成供货、安装、调试。</w:t>
      </w:r>
    </w:p>
    <w:p w14:paraId="7AD1EE7D">
      <w:pPr>
        <w:spacing w:line="300" w:lineRule="auto"/>
        <w:ind w:firstLine="480" w:firstLineChars="200"/>
        <w:jc w:val="left"/>
        <w:rPr>
          <w:rFonts w:ascii="仿宋" w:hAnsi="仿宋" w:eastAsia="仿宋" w:cs="仿宋"/>
          <w:color w:val="000000"/>
          <w:kern w:val="0"/>
          <w:sz w:val="24"/>
          <w:szCs w:val="24"/>
        </w:rPr>
      </w:pPr>
      <w:r>
        <w:rPr>
          <w:rFonts w:hint="eastAsia" w:ascii="仿宋_GB2312"/>
          <w:sz w:val="24"/>
        </w:rPr>
        <w:t>（2）设备提供不低于3年的免费原厂维保服务。</w:t>
      </w:r>
    </w:p>
    <w:p w14:paraId="7B5505BD">
      <w:pPr>
        <w:widowControl/>
        <w:tabs>
          <w:tab w:val="left" w:pos="840"/>
          <w:tab w:val="left" w:pos="945"/>
          <w:tab w:val="left" w:pos="1050"/>
        </w:tabs>
        <w:spacing w:line="360" w:lineRule="auto"/>
        <w:ind w:firstLine="480" w:firstLineChars="200"/>
      </w:pPr>
      <w:r>
        <w:rPr>
          <w:rFonts w:hint="eastAsia" w:ascii="仿宋_GB2312" w:cs="宋体"/>
          <w:kern w:val="0"/>
          <w:sz w:val="24"/>
        </w:rPr>
        <w:t>三、</w:t>
      </w:r>
      <w:r>
        <w:rPr>
          <w:rFonts w:hint="eastAsia" w:ascii="仿宋_GB2312"/>
          <w:sz w:val="24"/>
        </w:rPr>
        <w:t>被询价人的资格要求：符合《中华人民共和国政府采购法》第二十二条、二十四条及本询价文件规定条件的供应商。</w:t>
      </w:r>
    </w:p>
    <w:p w14:paraId="7E7A8A70">
      <w:pPr>
        <w:widowControl/>
        <w:spacing w:line="360" w:lineRule="auto"/>
        <w:ind w:firstLine="480" w:firstLineChars="200"/>
        <w:jc w:val="left"/>
        <w:rPr>
          <w:rFonts w:ascii="仿宋_GB2312"/>
          <w:sz w:val="24"/>
        </w:rPr>
      </w:pPr>
      <w:r>
        <w:rPr>
          <w:rFonts w:hint="eastAsia" w:ascii="仿宋_GB2312"/>
          <w:sz w:val="24"/>
        </w:rPr>
        <w:t>四、报价</w:t>
      </w:r>
    </w:p>
    <w:p w14:paraId="73F30488">
      <w:pPr>
        <w:spacing w:line="360" w:lineRule="auto"/>
        <w:ind w:firstLine="480" w:firstLineChars="200"/>
        <w:jc w:val="left"/>
        <w:rPr>
          <w:rFonts w:ascii="仿宋_GB2312"/>
          <w:sz w:val="24"/>
        </w:rPr>
      </w:pPr>
      <w:r>
        <w:rPr>
          <w:rFonts w:hint="eastAsia" w:ascii="仿宋_GB2312"/>
          <w:sz w:val="24"/>
        </w:rPr>
        <w:t>1.1报价以人民币为结算货币。</w:t>
      </w:r>
    </w:p>
    <w:p w14:paraId="065530E7">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38809B6D">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214E7026">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311ABBC2">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66F2B3E5">
      <w:pPr>
        <w:pStyle w:val="4"/>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2025年6月6日17时30分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771CA6FB">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3A32D0D0">
      <w:pPr>
        <w:pStyle w:val="4"/>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21E3B977">
      <w:pPr>
        <w:pStyle w:val="4"/>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rPr>
        <w:t>沈女士</w:t>
      </w:r>
    </w:p>
    <w:p w14:paraId="7B1D3428">
      <w:pPr>
        <w:pStyle w:val="27"/>
        <w:numPr>
          <w:ilvl w:val="0"/>
          <w:numId w:val="3"/>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0E1F260C">
      <w:pPr>
        <w:pStyle w:val="27"/>
        <w:jc w:val="center"/>
        <w:rPr>
          <w:rFonts w:ascii="仿宋_GB2312" w:hAnsi="宋体"/>
          <w:b/>
          <w:sz w:val="36"/>
        </w:rPr>
      </w:pPr>
    </w:p>
    <w:p w14:paraId="77B34D07">
      <w:pPr>
        <w:pStyle w:val="27"/>
        <w:rPr>
          <w:rFonts w:ascii="仿宋_GB2312" w:hAnsi="宋体"/>
          <w:b/>
          <w:sz w:val="36"/>
        </w:rPr>
      </w:pPr>
    </w:p>
    <w:p w14:paraId="3343A9B9">
      <w:pPr>
        <w:pStyle w:val="27"/>
        <w:jc w:val="center"/>
        <w:rPr>
          <w:rFonts w:ascii="仿宋_GB2312" w:hAnsi="宋体"/>
          <w:b/>
          <w:sz w:val="36"/>
        </w:rPr>
      </w:pPr>
    </w:p>
    <w:p w14:paraId="712351E3">
      <w:pPr>
        <w:pStyle w:val="27"/>
        <w:jc w:val="center"/>
        <w:rPr>
          <w:rFonts w:ascii="仿宋_GB2312" w:hAnsi="宋体"/>
          <w:b/>
          <w:sz w:val="36"/>
        </w:rPr>
      </w:pPr>
    </w:p>
    <w:p w14:paraId="498D2830">
      <w:pPr>
        <w:pStyle w:val="27"/>
        <w:jc w:val="center"/>
        <w:rPr>
          <w:rFonts w:ascii="仿宋_GB2312" w:hAnsi="宋体"/>
          <w:b/>
          <w:sz w:val="36"/>
        </w:rPr>
      </w:pPr>
    </w:p>
    <w:p w14:paraId="198AFC00">
      <w:pPr>
        <w:pStyle w:val="27"/>
        <w:jc w:val="center"/>
        <w:rPr>
          <w:rFonts w:ascii="仿宋_GB2312" w:hAnsi="宋体"/>
          <w:b/>
          <w:sz w:val="36"/>
        </w:rPr>
      </w:pPr>
    </w:p>
    <w:p w14:paraId="5F48D4F9">
      <w:pPr>
        <w:pStyle w:val="27"/>
        <w:jc w:val="center"/>
        <w:rPr>
          <w:rFonts w:ascii="仿宋_GB2312" w:hAnsi="宋体"/>
          <w:b/>
          <w:sz w:val="36"/>
        </w:rPr>
      </w:pPr>
    </w:p>
    <w:p w14:paraId="502B73EC">
      <w:pPr>
        <w:pStyle w:val="27"/>
        <w:jc w:val="center"/>
        <w:rPr>
          <w:rFonts w:ascii="仿宋_GB2312" w:hAnsi="宋体"/>
          <w:b/>
          <w:sz w:val="36"/>
        </w:rPr>
      </w:pPr>
    </w:p>
    <w:p w14:paraId="2BC88DA5">
      <w:pPr>
        <w:pStyle w:val="27"/>
        <w:jc w:val="center"/>
        <w:rPr>
          <w:rFonts w:ascii="仿宋_GB2312" w:hAnsi="宋体"/>
          <w:b/>
          <w:sz w:val="36"/>
        </w:rPr>
      </w:pPr>
    </w:p>
    <w:p w14:paraId="26FF9267">
      <w:pPr>
        <w:pStyle w:val="27"/>
        <w:jc w:val="center"/>
        <w:rPr>
          <w:rFonts w:ascii="仿宋_GB2312" w:hAnsi="宋体"/>
          <w:b/>
          <w:sz w:val="36"/>
        </w:rPr>
      </w:pPr>
    </w:p>
    <w:p w14:paraId="147BB3A3">
      <w:pPr>
        <w:pStyle w:val="27"/>
        <w:jc w:val="center"/>
        <w:rPr>
          <w:rFonts w:ascii="仿宋_GB2312" w:hAnsi="宋体"/>
          <w:b/>
          <w:sz w:val="36"/>
        </w:rPr>
      </w:pPr>
    </w:p>
    <w:p w14:paraId="7A47EB6F">
      <w:pPr>
        <w:pStyle w:val="27"/>
        <w:jc w:val="center"/>
        <w:rPr>
          <w:rFonts w:ascii="仿宋_GB2312" w:hAnsi="宋体"/>
          <w:b/>
          <w:sz w:val="36"/>
        </w:rPr>
      </w:pPr>
    </w:p>
    <w:p w14:paraId="724989FE">
      <w:pPr>
        <w:pStyle w:val="27"/>
        <w:jc w:val="center"/>
        <w:rPr>
          <w:rFonts w:ascii="仿宋_GB2312" w:hAnsi="宋体"/>
          <w:b/>
          <w:sz w:val="36"/>
        </w:rPr>
      </w:pPr>
    </w:p>
    <w:p w14:paraId="5757EC1C">
      <w:pPr>
        <w:pStyle w:val="27"/>
        <w:jc w:val="center"/>
        <w:rPr>
          <w:rFonts w:ascii="仿宋_GB2312" w:hAnsi="宋体"/>
          <w:b/>
          <w:sz w:val="36"/>
        </w:rPr>
      </w:pPr>
    </w:p>
    <w:p w14:paraId="5F9FDCFE">
      <w:pPr>
        <w:pStyle w:val="27"/>
        <w:jc w:val="center"/>
        <w:rPr>
          <w:rFonts w:ascii="仿宋_GB2312" w:hAnsi="宋体"/>
          <w:b/>
          <w:sz w:val="36"/>
        </w:rPr>
      </w:pPr>
    </w:p>
    <w:p w14:paraId="66C64703">
      <w:pPr>
        <w:pStyle w:val="27"/>
        <w:jc w:val="center"/>
        <w:rPr>
          <w:rFonts w:ascii="仿宋_GB2312" w:hAnsi="宋体"/>
          <w:b/>
          <w:sz w:val="36"/>
        </w:rPr>
      </w:pPr>
    </w:p>
    <w:p w14:paraId="540A70EE">
      <w:pPr>
        <w:pStyle w:val="27"/>
        <w:jc w:val="center"/>
        <w:rPr>
          <w:rFonts w:ascii="仿宋_GB2312" w:hAnsi="宋体"/>
          <w:b/>
          <w:sz w:val="36"/>
        </w:rPr>
      </w:pPr>
    </w:p>
    <w:p w14:paraId="7DA5B392">
      <w:pPr>
        <w:pStyle w:val="27"/>
        <w:jc w:val="center"/>
        <w:rPr>
          <w:rFonts w:ascii="仿宋_GB2312" w:hAnsi="宋体"/>
          <w:b/>
          <w:sz w:val="36"/>
        </w:rPr>
      </w:pPr>
    </w:p>
    <w:p w14:paraId="1342051C">
      <w:pPr>
        <w:pStyle w:val="27"/>
        <w:jc w:val="center"/>
        <w:rPr>
          <w:rFonts w:ascii="仿宋_GB2312" w:hAnsi="宋体"/>
          <w:b/>
          <w:sz w:val="36"/>
        </w:rPr>
      </w:pPr>
    </w:p>
    <w:p w14:paraId="32E400E5">
      <w:pPr>
        <w:pStyle w:val="27"/>
        <w:jc w:val="center"/>
        <w:rPr>
          <w:rFonts w:ascii="仿宋_GB2312" w:hAnsi="宋体"/>
          <w:b/>
          <w:sz w:val="36"/>
        </w:rPr>
      </w:pPr>
    </w:p>
    <w:p w14:paraId="11670B7D">
      <w:pPr>
        <w:pStyle w:val="27"/>
        <w:jc w:val="center"/>
        <w:rPr>
          <w:rFonts w:ascii="仿宋_GB2312" w:hAnsi="宋体"/>
          <w:b/>
          <w:sz w:val="36"/>
        </w:rPr>
      </w:pPr>
    </w:p>
    <w:p w14:paraId="78884A76">
      <w:pPr>
        <w:pStyle w:val="27"/>
        <w:jc w:val="center"/>
        <w:rPr>
          <w:rFonts w:ascii="仿宋_GB2312" w:hAnsi="宋体"/>
          <w:b/>
          <w:sz w:val="36"/>
        </w:rPr>
      </w:pPr>
    </w:p>
    <w:p w14:paraId="1120B621">
      <w:pPr>
        <w:pStyle w:val="27"/>
        <w:jc w:val="center"/>
        <w:rPr>
          <w:rFonts w:ascii="仿宋_GB2312" w:hAnsi="宋体"/>
          <w:b/>
          <w:sz w:val="36"/>
        </w:rPr>
      </w:pPr>
      <w:r>
        <w:rPr>
          <w:rFonts w:hint="eastAsia" w:ascii="仿宋_GB2312" w:hAnsi="宋体"/>
          <w:b/>
          <w:sz w:val="36"/>
        </w:rPr>
        <w:t>第二章  报  价  书</w:t>
      </w:r>
    </w:p>
    <w:p w14:paraId="0EBFB04A">
      <w:pPr>
        <w:spacing w:line="380" w:lineRule="exact"/>
        <w:rPr>
          <w:rFonts w:ascii="仿宋_GB2312"/>
          <w:sz w:val="24"/>
        </w:rPr>
      </w:pPr>
    </w:p>
    <w:p w14:paraId="52807ADA">
      <w:pPr>
        <w:spacing w:line="380" w:lineRule="exact"/>
        <w:rPr>
          <w:rFonts w:ascii="仿宋_GB2312"/>
          <w:sz w:val="24"/>
        </w:rPr>
      </w:pPr>
      <w:r>
        <w:rPr>
          <w:rFonts w:hint="eastAsia" w:ascii="仿宋_GB2312"/>
          <w:sz w:val="24"/>
        </w:rPr>
        <w:t>致：</w:t>
      </w:r>
    </w:p>
    <w:p w14:paraId="5AFB922E">
      <w:pPr>
        <w:spacing w:line="380" w:lineRule="exact"/>
        <w:rPr>
          <w:rFonts w:ascii="仿宋_GB2312"/>
          <w:sz w:val="24"/>
        </w:rPr>
      </w:pPr>
    </w:p>
    <w:p w14:paraId="613234D1">
      <w:pPr>
        <w:spacing w:line="380" w:lineRule="exact"/>
        <w:rPr>
          <w:rFonts w:ascii="仿宋_GB2312"/>
          <w:sz w:val="24"/>
        </w:rPr>
      </w:pPr>
      <w:r>
        <w:rPr>
          <w:rFonts w:hint="eastAsia" w:ascii="仿宋_GB2312"/>
          <w:sz w:val="24"/>
        </w:rPr>
        <w:t xml:space="preserve">    根据贵方为 项目的询价函，本签字代表（全名、职务）正式授权并代表被询价人提交下述报价：</w:t>
      </w:r>
    </w:p>
    <w:p w14:paraId="67F1CF6B">
      <w:pPr>
        <w:spacing w:line="380" w:lineRule="exact"/>
        <w:rPr>
          <w:rFonts w:ascii="仿宋_GB2312"/>
          <w:sz w:val="24"/>
        </w:rPr>
      </w:pPr>
      <w:r>
        <w:rPr>
          <w:rFonts w:hint="eastAsia" w:ascii="仿宋_GB2312"/>
          <w:sz w:val="24"/>
        </w:rPr>
        <w:t xml:space="preserve">  据此函，签字代表宣布同意如下：</w:t>
      </w:r>
    </w:p>
    <w:p w14:paraId="3B58CDFE">
      <w:pPr>
        <w:spacing w:line="380" w:lineRule="exact"/>
        <w:rPr>
          <w:rFonts w:ascii="仿宋_GB2312"/>
          <w:sz w:val="24"/>
        </w:rPr>
      </w:pPr>
      <w:r>
        <w:rPr>
          <w:rFonts w:hint="eastAsia" w:ascii="仿宋_GB2312"/>
          <w:sz w:val="24"/>
        </w:rPr>
        <w:t xml:space="preserve">    1.所附询价文件中规定的应提供的货物（服务）合同包报价总价为人民币 ，即 （中文表述）。</w:t>
      </w:r>
    </w:p>
    <w:p w14:paraId="42BA9A6A">
      <w:pPr>
        <w:spacing w:line="380" w:lineRule="exact"/>
        <w:ind w:firstLine="480" w:firstLineChars="200"/>
        <w:rPr>
          <w:rFonts w:ascii="仿宋_GB2312"/>
          <w:sz w:val="24"/>
        </w:rPr>
      </w:pPr>
      <w:r>
        <w:rPr>
          <w:rFonts w:hint="eastAsia" w:ascii="仿宋_GB2312"/>
          <w:sz w:val="24"/>
        </w:rPr>
        <w:t>1.被询价人已详细审查全部询价文件，将自行承担因对全部询价文件理解不正确或误解而产生的相应后果。</w:t>
      </w:r>
    </w:p>
    <w:p w14:paraId="398FC9EF">
      <w:pPr>
        <w:spacing w:line="380" w:lineRule="exact"/>
        <w:rPr>
          <w:rFonts w:ascii="仿宋_GB2312"/>
          <w:sz w:val="24"/>
        </w:rPr>
      </w:pPr>
      <w:r>
        <w:rPr>
          <w:rFonts w:hint="eastAsia" w:ascii="仿宋_GB2312"/>
          <w:sz w:val="24"/>
        </w:rPr>
        <w:t xml:space="preserve">    2.被询价人保证遵守询价文件的全部规定，被询价人所提交的材料中所含的信息均为真实、准确、完整，且不具有任何误导性。</w:t>
      </w:r>
    </w:p>
    <w:p w14:paraId="21D24404">
      <w:pPr>
        <w:spacing w:line="380" w:lineRule="exact"/>
        <w:rPr>
          <w:rFonts w:ascii="仿宋_GB2312"/>
          <w:sz w:val="24"/>
        </w:rPr>
      </w:pPr>
      <w:r>
        <w:rPr>
          <w:rFonts w:hint="eastAsia" w:ascii="仿宋_GB2312"/>
          <w:sz w:val="24"/>
        </w:rPr>
        <w:t xml:space="preserve">    3、被询价人已经过现场踏勘，明确了解全部施工范围和施工内容，明确被询价人的全部权利和义务。</w:t>
      </w:r>
    </w:p>
    <w:p w14:paraId="4574BB1A">
      <w:pPr>
        <w:spacing w:line="380" w:lineRule="exact"/>
        <w:ind w:firstLine="480" w:firstLineChars="200"/>
        <w:rPr>
          <w:rFonts w:ascii="仿宋_GB2312"/>
          <w:sz w:val="24"/>
        </w:rPr>
      </w:pPr>
      <w:r>
        <w:rPr>
          <w:rFonts w:hint="eastAsia" w:ascii="仿宋_GB2312"/>
          <w:sz w:val="24"/>
        </w:rPr>
        <w:t>4. 与本询价有关的一切正式往来通讯请寄：</w:t>
      </w:r>
    </w:p>
    <w:p w14:paraId="5543209F">
      <w:pPr>
        <w:spacing w:line="380" w:lineRule="exact"/>
        <w:rPr>
          <w:rFonts w:ascii="仿宋_GB2312"/>
          <w:sz w:val="24"/>
          <w:u w:val="single"/>
        </w:rPr>
      </w:pPr>
      <w:r>
        <w:rPr>
          <w:rFonts w:hint="eastAsia" w:ascii="仿宋_GB2312"/>
          <w:sz w:val="24"/>
        </w:rPr>
        <w:t xml:space="preserve">      地址：  邮编： </w:t>
      </w:r>
    </w:p>
    <w:p w14:paraId="21CE1284">
      <w:pPr>
        <w:spacing w:line="380" w:lineRule="exact"/>
        <w:rPr>
          <w:rFonts w:ascii="仿宋_GB2312"/>
          <w:sz w:val="24"/>
          <w:u w:val="single"/>
        </w:rPr>
      </w:pPr>
      <w:r>
        <w:rPr>
          <w:rFonts w:hint="eastAsia" w:ascii="仿宋_GB2312"/>
          <w:sz w:val="24"/>
        </w:rPr>
        <w:t xml:space="preserve">      电话：  传真： </w:t>
      </w:r>
    </w:p>
    <w:p w14:paraId="35B89498">
      <w:pPr>
        <w:spacing w:line="380" w:lineRule="exact"/>
        <w:rPr>
          <w:rFonts w:ascii="仿宋_GB2312"/>
          <w:sz w:val="24"/>
          <w:u w:val="single"/>
        </w:rPr>
      </w:pPr>
      <w:r>
        <w:rPr>
          <w:rFonts w:hint="eastAsia" w:ascii="仿宋_GB2312"/>
          <w:sz w:val="24"/>
        </w:rPr>
        <w:t xml:space="preserve">     被询价人代表签字： </w:t>
      </w:r>
    </w:p>
    <w:p w14:paraId="009BA217">
      <w:pPr>
        <w:spacing w:line="380" w:lineRule="exact"/>
        <w:rPr>
          <w:rFonts w:ascii="仿宋_GB2312"/>
          <w:sz w:val="24"/>
        </w:rPr>
      </w:pPr>
      <w:r>
        <w:rPr>
          <w:rFonts w:hint="eastAsia" w:ascii="仿宋_GB2312"/>
          <w:sz w:val="24"/>
        </w:rPr>
        <w:t xml:space="preserve">     被询价人（全称并加盖公章）：</w:t>
      </w:r>
    </w:p>
    <w:p w14:paraId="036E6AAC">
      <w:pPr>
        <w:tabs>
          <w:tab w:val="center" w:pos="900"/>
          <w:tab w:val="center" w:pos="1080"/>
        </w:tabs>
        <w:spacing w:line="360" w:lineRule="auto"/>
        <w:ind w:firstLine="435"/>
        <w:rPr>
          <w:rFonts w:ascii="仿宋_GB2312"/>
          <w:sz w:val="24"/>
        </w:rPr>
      </w:pPr>
    </w:p>
    <w:p w14:paraId="3AADF3CE">
      <w:pPr>
        <w:tabs>
          <w:tab w:val="center" w:pos="900"/>
          <w:tab w:val="center" w:pos="1080"/>
        </w:tabs>
        <w:spacing w:line="360" w:lineRule="auto"/>
        <w:ind w:firstLine="4560" w:firstLineChars="1900"/>
        <w:rPr>
          <w:rFonts w:cs="宋体"/>
          <w:bCs/>
          <w:kern w:val="0"/>
          <w:sz w:val="24"/>
        </w:rPr>
      </w:pPr>
      <w:r>
        <w:rPr>
          <w:rFonts w:hint="eastAsia" w:ascii="仿宋_GB2312"/>
          <w:sz w:val="24"/>
        </w:rPr>
        <w:t>日  期： 年月日</w:t>
      </w:r>
    </w:p>
    <w:p w14:paraId="6905A614">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A6D7">
    <w:pPr>
      <w:pStyle w:val="10"/>
      <w:jc w:val="center"/>
    </w:pPr>
    <w:r>
      <w:rPr>
        <w:rFonts w:hint="eastAsia"/>
      </w:rPr>
      <w:t>第</w:t>
    </w:r>
    <w:r>
      <w:fldChar w:fldCharType="begin"/>
    </w:r>
    <w:r>
      <w:rPr>
        <w:rStyle w:val="18"/>
      </w:rPr>
      <w:instrText xml:space="preserve"> PAGE </w:instrText>
    </w:r>
    <w:r>
      <w:fldChar w:fldCharType="separate"/>
    </w:r>
    <w:r>
      <w:rPr>
        <w:rStyle w:val="18"/>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5A5A">
    <w:pPr>
      <w:pStyle w:val="10"/>
      <w:framePr w:wrap="around" w:vAnchor="text" w:hAnchor="margin" w:xAlign="center" w:y="1"/>
      <w:rPr>
        <w:rStyle w:val="18"/>
      </w:rPr>
    </w:pPr>
    <w:r>
      <w:fldChar w:fldCharType="begin"/>
    </w:r>
    <w:r>
      <w:rPr>
        <w:rStyle w:val="18"/>
      </w:rPr>
      <w:instrText xml:space="preserve">PAGE  </w:instrText>
    </w:r>
    <w:r>
      <w:fldChar w:fldCharType="end"/>
    </w:r>
  </w:p>
  <w:p w14:paraId="06CB2657">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5C53">
    <w:pPr>
      <w:pStyle w:val="10"/>
      <w:jc w:val="center"/>
    </w:pPr>
    <w:r>
      <w:fldChar w:fldCharType="begin"/>
    </w:r>
    <w:r>
      <w:rPr>
        <w:rStyle w:val="18"/>
      </w:rPr>
      <w:instrText xml:space="preserve"> PAGE </w:instrText>
    </w:r>
    <w:r>
      <w:fldChar w:fldCharType="separate"/>
    </w:r>
    <w:r>
      <w:rPr>
        <w:rStyle w:val="18"/>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A981">
    <w:pPr>
      <w:pStyle w:val="10"/>
      <w:framePr w:wrap="around" w:vAnchor="text" w:hAnchor="margin" w:xAlign="outside" w:y="1"/>
      <w:snapToGrid/>
      <w:ind w:left="310" w:leftChars="100" w:right="310" w:rightChars="100"/>
      <w:rPr>
        <w:rStyle w:val="18"/>
        <w:rFonts w:eastAsia="宋体"/>
        <w:sz w:val="28"/>
        <w:szCs w:val="28"/>
      </w:rPr>
    </w:pPr>
    <w:r>
      <w:rPr>
        <w:rStyle w:val="18"/>
        <w:rFonts w:hint="eastAsia" w:eastAsia="宋体"/>
        <w:sz w:val="28"/>
        <w:szCs w:val="28"/>
      </w:rPr>
      <w:t xml:space="preserve">— </w:t>
    </w:r>
    <w:r>
      <w:rPr>
        <w:rFonts w:eastAsia="宋体"/>
        <w:sz w:val="28"/>
        <w:szCs w:val="28"/>
      </w:rPr>
      <w:fldChar w:fldCharType="begin"/>
    </w:r>
    <w:r>
      <w:rPr>
        <w:rStyle w:val="18"/>
        <w:rFonts w:eastAsia="宋体"/>
        <w:sz w:val="28"/>
        <w:szCs w:val="28"/>
      </w:rPr>
      <w:instrText xml:space="preserve">PAGE  </w:instrText>
    </w:r>
    <w:r>
      <w:rPr>
        <w:rFonts w:eastAsia="宋体"/>
        <w:sz w:val="28"/>
        <w:szCs w:val="28"/>
      </w:rPr>
      <w:fldChar w:fldCharType="separate"/>
    </w:r>
    <w:r>
      <w:rPr>
        <w:rStyle w:val="18"/>
        <w:rFonts w:eastAsia="宋体"/>
        <w:sz w:val="28"/>
        <w:szCs w:val="28"/>
      </w:rPr>
      <w:t>10</w:t>
    </w:r>
    <w:r>
      <w:rPr>
        <w:rFonts w:eastAsia="宋体"/>
        <w:sz w:val="28"/>
        <w:szCs w:val="28"/>
      </w:rPr>
      <w:fldChar w:fldCharType="end"/>
    </w:r>
    <w:r>
      <w:rPr>
        <w:rStyle w:val="18"/>
        <w:rFonts w:hint="eastAsia" w:eastAsia="宋体"/>
        <w:sz w:val="28"/>
        <w:szCs w:val="28"/>
      </w:rPr>
      <w:t xml:space="preserve"> —</w:t>
    </w:r>
  </w:p>
  <w:p w14:paraId="59050400">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2CB4">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4</w:t>
    </w:r>
    <w:r>
      <w:fldChar w:fldCharType="end"/>
    </w:r>
  </w:p>
  <w:p w14:paraId="082A4E8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9C1A"/>
    <w:multiLevelType w:val="singleLevel"/>
    <w:tmpl w:val="86EE9C1A"/>
    <w:lvl w:ilvl="0" w:tentative="0">
      <w:start w:val="1"/>
      <w:numFmt w:val="decimal"/>
      <w:lvlText w:val="%1."/>
      <w:lvlJc w:val="left"/>
      <w:pPr>
        <w:tabs>
          <w:tab w:val="left" w:pos="312"/>
        </w:tabs>
      </w:pPr>
    </w:lvl>
  </w:abstractNum>
  <w:abstractNum w:abstractNumId="1">
    <w:nsid w:val="0990AF35"/>
    <w:multiLevelType w:val="singleLevel"/>
    <w:tmpl w:val="0990AF35"/>
    <w:lvl w:ilvl="0" w:tentative="0">
      <w:start w:val="7"/>
      <w:numFmt w:val="chineseCounting"/>
      <w:suff w:val="nothing"/>
      <w:lvlText w:val="%1、"/>
      <w:lvlJc w:val="left"/>
      <w:rPr>
        <w:rFonts w:hint="eastAsia"/>
      </w:rPr>
    </w:lvl>
  </w:abstractNum>
  <w:abstractNum w:abstractNumId="2">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431AC"/>
    <w:rsid w:val="002643ED"/>
    <w:rsid w:val="002C678D"/>
    <w:rsid w:val="002D250D"/>
    <w:rsid w:val="003010B5"/>
    <w:rsid w:val="00315F2C"/>
    <w:rsid w:val="0033181A"/>
    <w:rsid w:val="00395907"/>
    <w:rsid w:val="003C6A79"/>
    <w:rsid w:val="003E4907"/>
    <w:rsid w:val="004118B3"/>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348A8"/>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EB31DE"/>
    <w:rsid w:val="00F23CE4"/>
    <w:rsid w:val="00F34831"/>
    <w:rsid w:val="00FF76E6"/>
    <w:rsid w:val="0221260B"/>
    <w:rsid w:val="03087182"/>
    <w:rsid w:val="034C7D0D"/>
    <w:rsid w:val="036A2367"/>
    <w:rsid w:val="03772BBD"/>
    <w:rsid w:val="04165E30"/>
    <w:rsid w:val="04725735"/>
    <w:rsid w:val="05562B6E"/>
    <w:rsid w:val="05AB62E8"/>
    <w:rsid w:val="08156340"/>
    <w:rsid w:val="08DE5CED"/>
    <w:rsid w:val="09830EDB"/>
    <w:rsid w:val="10114D93"/>
    <w:rsid w:val="10D358E2"/>
    <w:rsid w:val="1167382E"/>
    <w:rsid w:val="12B53941"/>
    <w:rsid w:val="146C6E0E"/>
    <w:rsid w:val="154A462B"/>
    <w:rsid w:val="16D51CE1"/>
    <w:rsid w:val="17000058"/>
    <w:rsid w:val="19880315"/>
    <w:rsid w:val="1ABC0A4E"/>
    <w:rsid w:val="1B267279"/>
    <w:rsid w:val="1C6B0F02"/>
    <w:rsid w:val="1C7949CC"/>
    <w:rsid w:val="1CB50B8F"/>
    <w:rsid w:val="1D046191"/>
    <w:rsid w:val="1D806065"/>
    <w:rsid w:val="1F2E5829"/>
    <w:rsid w:val="1F437B10"/>
    <w:rsid w:val="1F7479AC"/>
    <w:rsid w:val="1FE230BF"/>
    <w:rsid w:val="1FF860DA"/>
    <w:rsid w:val="21B45A63"/>
    <w:rsid w:val="231128E5"/>
    <w:rsid w:val="23F066E5"/>
    <w:rsid w:val="245260CF"/>
    <w:rsid w:val="247003EF"/>
    <w:rsid w:val="24E535DB"/>
    <w:rsid w:val="25ED76AA"/>
    <w:rsid w:val="261279AA"/>
    <w:rsid w:val="272C4E17"/>
    <w:rsid w:val="277B1616"/>
    <w:rsid w:val="28361BC3"/>
    <w:rsid w:val="294466F6"/>
    <w:rsid w:val="29E11E0E"/>
    <w:rsid w:val="2E6F7149"/>
    <w:rsid w:val="2FCD0BAA"/>
    <w:rsid w:val="311E0417"/>
    <w:rsid w:val="35771ECB"/>
    <w:rsid w:val="35B83EE9"/>
    <w:rsid w:val="35E21EFB"/>
    <w:rsid w:val="38EE56E2"/>
    <w:rsid w:val="395072CE"/>
    <w:rsid w:val="39A93DD0"/>
    <w:rsid w:val="3BCC6CC4"/>
    <w:rsid w:val="3BE47316"/>
    <w:rsid w:val="3C322097"/>
    <w:rsid w:val="3D0F224F"/>
    <w:rsid w:val="3E216EE2"/>
    <w:rsid w:val="3E226E27"/>
    <w:rsid w:val="40673A54"/>
    <w:rsid w:val="406A6684"/>
    <w:rsid w:val="40F831FE"/>
    <w:rsid w:val="41D1259F"/>
    <w:rsid w:val="4319254A"/>
    <w:rsid w:val="436B4229"/>
    <w:rsid w:val="43E3060D"/>
    <w:rsid w:val="44AF3251"/>
    <w:rsid w:val="44B624B1"/>
    <w:rsid w:val="44FE5FB8"/>
    <w:rsid w:val="45012A41"/>
    <w:rsid w:val="45AD7E5F"/>
    <w:rsid w:val="471709F8"/>
    <w:rsid w:val="4A17126F"/>
    <w:rsid w:val="4A9B3349"/>
    <w:rsid w:val="4AE56A0A"/>
    <w:rsid w:val="4B0227D0"/>
    <w:rsid w:val="4BC86FFA"/>
    <w:rsid w:val="4C35182A"/>
    <w:rsid w:val="4D093838"/>
    <w:rsid w:val="51C16A58"/>
    <w:rsid w:val="53485200"/>
    <w:rsid w:val="55CB1B59"/>
    <w:rsid w:val="56604AAB"/>
    <w:rsid w:val="58480756"/>
    <w:rsid w:val="586F035F"/>
    <w:rsid w:val="5ACC0D12"/>
    <w:rsid w:val="5B1E5510"/>
    <w:rsid w:val="5B544124"/>
    <w:rsid w:val="5C231706"/>
    <w:rsid w:val="5DF05C9F"/>
    <w:rsid w:val="5F90586A"/>
    <w:rsid w:val="60676CC4"/>
    <w:rsid w:val="60AE403A"/>
    <w:rsid w:val="62056ADE"/>
    <w:rsid w:val="620E5F34"/>
    <w:rsid w:val="62FF2388"/>
    <w:rsid w:val="631D3E77"/>
    <w:rsid w:val="63B71586"/>
    <w:rsid w:val="65881B26"/>
    <w:rsid w:val="65A46FA3"/>
    <w:rsid w:val="67452239"/>
    <w:rsid w:val="69653885"/>
    <w:rsid w:val="6A331144"/>
    <w:rsid w:val="6ACF764A"/>
    <w:rsid w:val="6B501060"/>
    <w:rsid w:val="6C8465D3"/>
    <w:rsid w:val="6CA04C26"/>
    <w:rsid w:val="6DDE1315"/>
    <w:rsid w:val="705428A9"/>
    <w:rsid w:val="714D375E"/>
    <w:rsid w:val="728C7101"/>
    <w:rsid w:val="729F75D3"/>
    <w:rsid w:val="72BF0CD3"/>
    <w:rsid w:val="742F4717"/>
    <w:rsid w:val="7843079A"/>
    <w:rsid w:val="78F76AF6"/>
    <w:rsid w:val="79A045AB"/>
    <w:rsid w:val="7C4F4D89"/>
    <w:rsid w:val="7D317343"/>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6">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line="360" w:lineRule="auto"/>
      <w:ind w:firstLine="420" w:firstLineChars="200"/>
      <w:jc w:val="left"/>
    </w:pPr>
    <w:rPr>
      <w:rFonts w:ascii="Times New Roman" w:hAnsi="Times New Roman" w:eastAsia="仿宋"/>
      <w:sz w:val="24"/>
    </w:rPr>
  </w:style>
  <w:style w:type="paragraph" w:styleId="3">
    <w:name w:val="Body Text Indent"/>
    <w:basedOn w:val="1"/>
    <w:next w:val="1"/>
    <w:unhideWhenUsed/>
    <w:qFormat/>
    <w:uiPriority w:val="99"/>
    <w:pPr>
      <w:spacing w:after="120"/>
      <w:ind w:left="420" w:leftChars="200"/>
    </w:pPr>
  </w:style>
  <w:style w:type="paragraph" w:styleId="4">
    <w:name w:val="Normal Indent"/>
    <w:basedOn w:val="1"/>
    <w:next w:val="5"/>
    <w:qFormat/>
    <w:uiPriority w:val="0"/>
    <w:pPr>
      <w:ind w:firstLine="420" w:firstLineChars="200"/>
    </w:pPr>
  </w:style>
  <w:style w:type="paragraph" w:styleId="5">
    <w:name w:val="Body Text"/>
    <w:basedOn w:val="1"/>
    <w:link w:val="22"/>
    <w:qFormat/>
    <w:uiPriority w:val="1"/>
    <w:pPr>
      <w:autoSpaceDE w:val="0"/>
      <w:autoSpaceDN w:val="0"/>
      <w:adjustRightInd/>
      <w:jc w:val="left"/>
    </w:pPr>
    <w:rPr>
      <w:rFonts w:eastAsia="宋体" w:cs="宋体"/>
      <w:kern w:val="0"/>
      <w:sz w:val="20"/>
      <w:szCs w:val="20"/>
      <w:lang w:val="zh-CN" w:bidi="zh-CN"/>
    </w:rPr>
  </w:style>
  <w:style w:type="paragraph" w:styleId="7">
    <w:name w:val="Plain Text"/>
    <w:basedOn w:val="1"/>
    <w:qFormat/>
    <w:uiPriority w:val="0"/>
    <w:rPr>
      <w:rFonts w:hAnsi="Courier New"/>
      <w:sz w:val="28"/>
      <w:szCs w:val="20"/>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3">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4">
    <w:name w:val="Title"/>
    <w:basedOn w:val="1"/>
    <w:qFormat/>
    <w:uiPriority w:val="0"/>
    <w:pPr>
      <w:jc w:val="center"/>
      <w:outlineLvl w:val="0"/>
    </w:pPr>
    <w:rPr>
      <w:rFonts w:ascii="Arial" w:hAnsi="Arial"/>
      <w:b/>
      <w:sz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页脚 Char"/>
    <w:basedOn w:val="17"/>
    <w:link w:val="10"/>
    <w:qFormat/>
    <w:uiPriority w:val="0"/>
    <w:rPr>
      <w:rFonts w:ascii="宋体" w:hAnsi="宋体" w:eastAsia="仿宋_GB2312" w:cs="Times New Roman"/>
      <w:sz w:val="18"/>
      <w:szCs w:val="18"/>
    </w:rPr>
  </w:style>
  <w:style w:type="character" w:customStyle="1" w:styleId="20">
    <w:name w:val="页眉 Char"/>
    <w:basedOn w:val="17"/>
    <w:link w:val="11"/>
    <w:semiHidden/>
    <w:qFormat/>
    <w:uiPriority w:val="99"/>
    <w:rPr>
      <w:rFonts w:ascii="宋体" w:hAnsi="宋体" w:eastAsia="仿宋_GB2312" w:cs="Times New Roman"/>
      <w:sz w:val="18"/>
      <w:szCs w:val="18"/>
    </w:rPr>
  </w:style>
  <w:style w:type="table" w:customStyle="1" w:styleId="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2">
    <w:name w:val="正文文本 Char"/>
    <w:basedOn w:val="17"/>
    <w:link w:val="5"/>
    <w:qFormat/>
    <w:uiPriority w:val="1"/>
    <w:rPr>
      <w:rFonts w:ascii="宋体" w:hAnsi="宋体" w:eastAsia="宋体" w:cs="宋体"/>
      <w:kern w:val="0"/>
      <w:sz w:val="20"/>
      <w:szCs w:val="20"/>
      <w:lang w:val="zh-CN" w:bidi="zh-CN"/>
    </w:rPr>
  </w:style>
  <w:style w:type="paragraph" w:customStyle="1" w:styleId="23">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4">
    <w:name w:val="日期 Char"/>
    <w:basedOn w:val="17"/>
    <w:link w:val="8"/>
    <w:semiHidden/>
    <w:qFormat/>
    <w:uiPriority w:val="99"/>
    <w:rPr>
      <w:rFonts w:ascii="宋体" w:hAnsi="宋体" w:eastAsia="仿宋_GB2312" w:cs="Times New Roman"/>
      <w:sz w:val="31"/>
      <w:szCs w:val="31"/>
    </w:rPr>
  </w:style>
  <w:style w:type="character" w:customStyle="1" w:styleId="25">
    <w:name w:val="批注框文本 Char"/>
    <w:basedOn w:val="17"/>
    <w:link w:val="9"/>
    <w:semiHidden/>
    <w:qFormat/>
    <w:uiPriority w:val="99"/>
    <w:rPr>
      <w:rFonts w:ascii="宋体" w:hAnsi="宋体" w:eastAsia="仿宋_GB2312" w:cs="Times New Roman"/>
      <w:sz w:val="18"/>
      <w:szCs w:val="18"/>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3"/>
    <w:basedOn w:val="7"/>
    <w:qFormat/>
    <w:uiPriority w:val="0"/>
    <w:pPr>
      <w:spacing w:line="0" w:lineRule="atLeast"/>
      <w:outlineLvl w:val="0"/>
    </w:pPr>
  </w:style>
  <w:style w:type="paragraph" w:customStyle="1" w:styleId="28">
    <w:name w:val="普通(网站)1"/>
    <w:basedOn w:val="1"/>
    <w:qFormat/>
    <w:uiPriority w:val="0"/>
    <w:pPr>
      <w:widowControl/>
      <w:spacing w:before="100" w:beforeAutospacing="1" w:after="100" w:afterAutospacing="1"/>
      <w:jc w:val="left"/>
    </w:pPr>
    <w:rPr>
      <w:kern w:val="0"/>
      <w:sz w:val="24"/>
    </w:rPr>
  </w:style>
  <w:style w:type="paragraph" w:styleId="29">
    <w:name w:val="List Paragraph"/>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1806</Words>
  <Characters>2125</Characters>
  <Lines>36</Lines>
  <Paragraphs>10</Paragraphs>
  <TotalTime>4</TotalTime>
  <ScaleCrop>false</ScaleCrop>
  <LinksUpToDate>false</LinksUpToDate>
  <CharactersWithSpaces>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2025-05-26T09:39:47Z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28EFE8FED40B4AFEBDE461AEFA416D1E_13</vt:lpwstr>
  </property>
  <property fmtid="{D5CDD505-2E9C-101B-9397-08002B2CF9AE}" pid="4" name="KSOTemplateDocerSaveRecord">
    <vt:lpwstr>eyJoZGlkIjoiMzRjN2E5NDAwN2VkOWMwZWJkYmJhYWNhZGQwN2I0MWUiLCJ1c2VySWQiOiIzNTAwODIwIn0=</vt:lpwstr>
  </property>
</Properties>
</file>