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2FA31">
      <w:pPr>
        <w:jc w:val="center"/>
        <w:rPr>
          <w:b/>
          <w:sz w:val="84"/>
          <w:szCs w:val="84"/>
        </w:rPr>
      </w:pPr>
    </w:p>
    <w:p w14:paraId="21D27500">
      <w:pPr>
        <w:jc w:val="center"/>
        <w:rPr>
          <w:b/>
          <w:sz w:val="84"/>
          <w:szCs w:val="84"/>
        </w:rPr>
      </w:pPr>
      <w:r>
        <w:rPr>
          <w:rFonts w:hint="eastAsia"/>
          <w:b/>
          <w:sz w:val="84"/>
          <w:szCs w:val="84"/>
        </w:rPr>
        <w:t>三明市第一医院</w:t>
      </w:r>
    </w:p>
    <w:p w14:paraId="2003EA64">
      <w:pPr>
        <w:rPr>
          <w:b/>
          <w:szCs w:val="21"/>
        </w:rPr>
      </w:pPr>
    </w:p>
    <w:p w14:paraId="746D0906">
      <w:pPr>
        <w:rPr>
          <w:b/>
          <w:szCs w:val="21"/>
        </w:rPr>
      </w:pPr>
    </w:p>
    <w:p w14:paraId="6280465A">
      <w:pPr>
        <w:rPr>
          <w:b/>
          <w:szCs w:val="21"/>
        </w:rPr>
      </w:pPr>
    </w:p>
    <w:p w14:paraId="5D022713">
      <w:pPr>
        <w:rPr>
          <w:b/>
          <w:szCs w:val="21"/>
        </w:rPr>
      </w:pPr>
    </w:p>
    <w:p w14:paraId="623E93C0">
      <w:pPr>
        <w:rPr>
          <w:b/>
          <w:szCs w:val="21"/>
        </w:rPr>
      </w:pPr>
    </w:p>
    <w:p w14:paraId="2C48D306">
      <w:pPr>
        <w:tabs>
          <w:tab w:val="left" w:pos="0"/>
        </w:tabs>
        <w:jc w:val="center"/>
        <w:rPr>
          <w:b/>
          <w:sz w:val="32"/>
          <w:szCs w:val="32"/>
        </w:rPr>
      </w:pPr>
      <w:r>
        <w:rPr>
          <w:rFonts w:hint="eastAsia"/>
          <w:b/>
          <w:sz w:val="84"/>
          <w:szCs w:val="84"/>
        </w:rPr>
        <w:t>询价文件</w:t>
      </w:r>
    </w:p>
    <w:p w14:paraId="541CDA9B">
      <w:pPr>
        <w:rPr>
          <w:sz w:val="32"/>
          <w:szCs w:val="32"/>
        </w:rPr>
      </w:pPr>
    </w:p>
    <w:p w14:paraId="173BBDA8">
      <w:pPr>
        <w:rPr>
          <w:rFonts w:ascii="宋体" w:hAnsi="宋体"/>
          <w:sz w:val="52"/>
          <w:szCs w:val="52"/>
        </w:rPr>
      </w:pPr>
    </w:p>
    <w:p w14:paraId="1F3B01AF">
      <w:pPr>
        <w:rPr>
          <w:rFonts w:ascii="宋体" w:hAnsi="宋体"/>
          <w:sz w:val="28"/>
          <w:szCs w:val="28"/>
        </w:rPr>
      </w:pPr>
    </w:p>
    <w:p w14:paraId="37D49E3B">
      <w:pPr>
        <w:jc w:val="center"/>
        <w:rPr>
          <w:rFonts w:ascii="宋体" w:hAnsi="宋体"/>
          <w:b/>
          <w:sz w:val="28"/>
          <w:szCs w:val="28"/>
        </w:rPr>
      </w:pPr>
    </w:p>
    <w:p w14:paraId="1C13F720">
      <w:pPr>
        <w:jc w:val="center"/>
        <w:rPr>
          <w:rFonts w:ascii="宋体" w:hAnsi="宋体"/>
          <w:b/>
          <w:sz w:val="28"/>
          <w:szCs w:val="28"/>
        </w:rPr>
      </w:pPr>
    </w:p>
    <w:p w14:paraId="7E0C971A">
      <w:pPr>
        <w:jc w:val="center"/>
        <w:rPr>
          <w:rFonts w:ascii="宋体" w:hAnsi="宋体"/>
          <w:b/>
          <w:sz w:val="28"/>
          <w:szCs w:val="28"/>
        </w:rPr>
      </w:pPr>
    </w:p>
    <w:p w14:paraId="19432AEF">
      <w:pPr>
        <w:rPr>
          <w:rFonts w:ascii="宋体" w:hAnsi="宋体"/>
          <w:b/>
          <w:sz w:val="28"/>
          <w:szCs w:val="28"/>
        </w:rPr>
      </w:pPr>
    </w:p>
    <w:p w14:paraId="03FFF0AC">
      <w:pPr>
        <w:rPr>
          <w:rFonts w:ascii="宋体" w:hAnsi="宋体"/>
          <w:b/>
          <w:sz w:val="28"/>
          <w:szCs w:val="28"/>
        </w:rPr>
      </w:pPr>
    </w:p>
    <w:p w14:paraId="2AED59EC">
      <w:pPr>
        <w:rPr>
          <w:rFonts w:ascii="宋体" w:hAnsi="宋体"/>
          <w:b/>
          <w:sz w:val="28"/>
          <w:szCs w:val="28"/>
        </w:rPr>
      </w:pPr>
    </w:p>
    <w:p w14:paraId="025EA1C5">
      <w:pPr>
        <w:ind w:firstLine="1658" w:firstLineChars="590"/>
        <w:rPr>
          <w:rFonts w:hint="default" w:ascii="宋体" w:hAnsi="宋体" w:eastAsia="宋体"/>
          <w:b/>
          <w:sz w:val="28"/>
          <w:szCs w:val="28"/>
          <w:lang w:val="en-US" w:eastAsia="zh-CN"/>
        </w:rPr>
      </w:pPr>
      <w:r>
        <w:rPr>
          <w:rFonts w:hint="eastAsia" w:ascii="宋体" w:hAnsi="宋体"/>
          <w:b/>
          <w:sz w:val="28"/>
          <w:szCs w:val="28"/>
        </w:rPr>
        <w:t xml:space="preserve">项目名称: </w:t>
      </w:r>
      <w:r>
        <w:rPr>
          <w:rFonts w:hint="eastAsia" w:ascii="宋体" w:hAnsi="宋体"/>
          <w:b/>
          <w:sz w:val="28"/>
          <w:szCs w:val="28"/>
          <w:lang w:val="en-US" w:eastAsia="zh-CN"/>
        </w:rPr>
        <w:t>口腔综合治疗台水路消毒系统</w:t>
      </w:r>
    </w:p>
    <w:p w14:paraId="68E19EB9">
      <w:pPr>
        <w:ind w:firstLine="1658" w:firstLineChars="590"/>
        <w:rPr>
          <w:rFonts w:ascii="宋体" w:hAnsi="宋体"/>
          <w:b/>
          <w:sz w:val="28"/>
          <w:szCs w:val="28"/>
        </w:rPr>
      </w:pPr>
      <w:r>
        <w:rPr>
          <w:rFonts w:hint="eastAsia" w:ascii="宋体" w:hAnsi="宋体"/>
          <w:b/>
          <w:sz w:val="28"/>
          <w:szCs w:val="28"/>
        </w:rPr>
        <w:t>采购方式：询价采购</w:t>
      </w:r>
    </w:p>
    <w:p w14:paraId="5438E5D8">
      <w:pPr>
        <w:rPr>
          <w:rFonts w:ascii="宋体" w:hAnsi="宋体"/>
          <w:b/>
          <w:sz w:val="28"/>
          <w:szCs w:val="28"/>
        </w:rPr>
      </w:pPr>
      <w:r>
        <w:rPr>
          <w:rFonts w:hint="eastAsia" w:ascii="宋体" w:hAnsi="宋体"/>
          <w:sz w:val="28"/>
          <w:szCs w:val="28"/>
        </w:rPr>
        <w:t xml:space="preserve">       </w:t>
      </w:r>
      <w:r>
        <w:rPr>
          <w:rFonts w:hint="eastAsia" w:ascii="宋体" w:hAnsi="宋体"/>
          <w:b/>
          <w:sz w:val="28"/>
          <w:szCs w:val="28"/>
        </w:rPr>
        <w:t xml:space="preserve">     采购编号：20</w:t>
      </w:r>
      <w:r>
        <w:rPr>
          <w:rFonts w:hint="eastAsia" w:ascii="宋体" w:hAnsi="宋体"/>
          <w:b/>
          <w:sz w:val="28"/>
          <w:szCs w:val="28"/>
          <w:lang w:val="en-US" w:eastAsia="zh-CN"/>
        </w:rPr>
        <w:t>25</w:t>
      </w:r>
      <w:r>
        <w:rPr>
          <w:rFonts w:hint="eastAsia" w:ascii="宋体" w:hAnsi="宋体"/>
          <w:b/>
          <w:sz w:val="28"/>
          <w:szCs w:val="28"/>
        </w:rPr>
        <w:t>-00</w:t>
      </w:r>
      <w:r>
        <w:rPr>
          <w:rFonts w:hint="eastAsia" w:ascii="宋体" w:hAnsi="宋体"/>
          <w:b/>
          <w:sz w:val="28"/>
          <w:szCs w:val="28"/>
          <w:lang w:val="en-US" w:eastAsia="zh-CN"/>
        </w:rPr>
        <w:t>1</w:t>
      </w:r>
      <w:r>
        <w:rPr>
          <w:rFonts w:hint="eastAsia" w:ascii="宋体" w:hAnsi="宋体"/>
          <w:b/>
          <w:sz w:val="28"/>
          <w:szCs w:val="28"/>
        </w:rPr>
        <w:t>#</w:t>
      </w:r>
    </w:p>
    <w:p w14:paraId="7D5CF497">
      <w:pPr>
        <w:rPr>
          <w:rFonts w:ascii="宋体" w:hAnsi="宋体"/>
          <w:sz w:val="28"/>
          <w:szCs w:val="28"/>
        </w:rPr>
      </w:pPr>
    </w:p>
    <w:p w14:paraId="3AD41AEC">
      <w:pPr>
        <w:pStyle w:val="14"/>
        <w:jc w:val="center"/>
        <w:rPr>
          <w:rFonts w:hAnsi="宋体"/>
          <w:b/>
          <w:color w:val="auto"/>
          <w:sz w:val="28"/>
          <w:szCs w:val="28"/>
        </w:rPr>
      </w:pPr>
    </w:p>
    <w:p w14:paraId="1CC4D96A">
      <w:pPr>
        <w:pStyle w:val="14"/>
        <w:jc w:val="center"/>
        <w:rPr>
          <w:rFonts w:hAnsi="宋体"/>
          <w:b/>
          <w:color w:val="auto"/>
        </w:rPr>
      </w:pPr>
      <w:r>
        <w:rPr>
          <w:rFonts w:hint="eastAsia" w:hAnsi="宋体"/>
          <w:b/>
          <w:color w:val="auto"/>
        </w:rPr>
        <w:t>第一章  投标邀请</w:t>
      </w:r>
    </w:p>
    <w:p w14:paraId="44C0477D">
      <w:pPr>
        <w:pStyle w:val="14"/>
        <w:ind w:firstLine="360" w:firstLineChars="150"/>
        <w:rPr>
          <w:rFonts w:hAnsi="宋体"/>
          <w:color w:val="auto"/>
        </w:rPr>
      </w:pPr>
    </w:p>
    <w:p w14:paraId="226F2154">
      <w:pPr>
        <w:tabs>
          <w:tab w:val="left" w:pos="315"/>
          <w:tab w:val="left" w:pos="525"/>
          <w:tab w:val="left" w:pos="840"/>
        </w:tabs>
        <w:spacing w:line="420" w:lineRule="exact"/>
        <w:ind w:left="233" w:leftChars="111" w:firstLine="475" w:firstLineChars="198"/>
        <w:rPr>
          <w:rFonts w:hint="eastAsia" w:ascii="宋体" w:hAnsi="宋体"/>
          <w:sz w:val="24"/>
        </w:rPr>
      </w:pPr>
      <w:r>
        <w:rPr>
          <w:rFonts w:hint="eastAsia" w:ascii="宋体" w:hAnsi="宋体"/>
          <w:sz w:val="24"/>
        </w:rPr>
        <w:t>三明市第一医院就所需的医疗设备进行院内招标采购，欢迎符合条件的供应商参加投标。　</w:t>
      </w:r>
    </w:p>
    <w:p w14:paraId="5606386E">
      <w:pPr>
        <w:tabs>
          <w:tab w:val="left" w:pos="315"/>
          <w:tab w:val="left" w:pos="525"/>
          <w:tab w:val="left" w:pos="840"/>
        </w:tabs>
        <w:spacing w:line="420" w:lineRule="exact"/>
        <w:ind w:left="-2" w:leftChars="-3" w:hanging="4" w:hangingChars="2"/>
        <w:rPr>
          <w:rFonts w:hint="eastAsia" w:ascii="宋体" w:hAnsi="宋体"/>
          <w:sz w:val="24"/>
        </w:rPr>
      </w:pPr>
      <w:r>
        <w:rPr>
          <w:rFonts w:hint="eastAsia" w:ascii="宋体" w:hAnsi="宋体"/>
          <w:sz w:val="24"/>
        </w:rPr>
        <w:t>1.招标项目内容：</w:t>
      </w:r>
    </w:p>
    <w:p w14:paraId="55CC672B">
      <w:pPr>
        <w:rPr>
          <w:rFonts w:ascii="宋体" w:hAnsi="宋体" w:cs="Tahoma"/>
          <w:sz w:val="24"/>
        </w:rPr>
      </w:pPr>
    </w:p>
    <w:tbl>
      <w:tblPr>
        <w:tblStyle w:val="11"/>
        <w:tblpPr w:leftFromText="180" w:rightFromText="180" w:vertAnchor="text" w:horzAnchor="margin" w:tblpXSpec="center" w:tblpY="2"/>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35"/>
        <w:gridCol w:w="1125"/>
        <w:gridCol w:w="1800"/>
        <w:gridCol w:w="1260"/>
        <w:gridCol w:w="1296"/>
        <w:gridCol w:w="1584"/>
      </w:tblGrid>
      <w:tr w14:paraId="2F70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1008" w:type="dxa"/>
            <w:tcBorders>
              <w:top w:val="single" w:color="auto" w:sz="4" w:space="0"/>
              <w:left w:val="single" w:color="auto" w:sz="4" w:space="0"/>
              <w:bottom w:val="single" w:color="auto" w:sz="4" w:space="0"/>
              <w:right w:val="single" w:color="auto" w:sz="4" w:space="0"/>
            </w:tcBorders>
          </w:tcPr>
          <w:p w14:paraId="0FFE49B0">
            <w:pPr>
              <w:pStyle w:val="6"/>
              <w:spacing w:line="360" w:lineRule="auto"/>
              <w:jc w:val="center"/>
              <w:rPr>
                <w:rFonts w:hAnsi="宋体"/>
                <w:sz w:val="24"/>
                <w:szCs w:val="24"/>
              </w:rPr>
            </w:pPr>
            <w:r>
              <w:rPr>
                <w:rFonts w:hint="eastAsia" w:hAnsi="宋体"/>
                <w:sz w:val="24"/>
                <w:szCs w:val="24"/>
              </w:rPr>
              <w:t>合同包</w:t>
            </w:r>
          </w:p>
        </w:tc>
        <w:tc>
          <w:tcPr>
            <w:tcW w:w="1935" w:type="dxa"/>
            <w:tcBorders>
              <w:top w:val="single" w:color="auto" w:sz="4" w:space="0"/>
              <w:left w:val="single" w:color="auto" w:sz="4" w:space="0"/>
              <w:bottom w:val="single" w:color="auto" w:sz="4" w:space="0"/>
              <w:right w:val="single" w:color="auto" w:sz="4" w:space="0"/>
            </w:tcBorders>
            <w:vAlign w:val="center"/>
          </w:tcPr>
          <w:p w14:paraId="46983D6F">
            <w:pPr>
              <w:pStyle w:val="6"/>
              <w:spacing w:line="360" w:lineRule="auto"/>
              <w:jc w:val="center"/>
              <w:rPr>
                <w:rFonts w:hAnsi="宋体"/>
                <w:sz w:val="24"/>
                <w:szCs w:val="24"/>
              </w:rPr>
            </w:pPr>
            <w:r>
              <w:rPr>
                <w:rFonts w:hint="eastAsia" w:hAnsi="宋体"/>
                <w:sz w:val="24"/>
                <w:szCs w:val="24"/>
              </w:rPr>
              <w:t>货物名称</w:t>
            </w:r>
          </w:p>
        </w:tc>
        <w:tc>
          <w:tcPr>
            <w:tcW w:w="1125" w:type="dxa"/>
            <w:tcBorders>
              <w:top w:val="single" w:color="auto" w:sz="4" w:space="0"/>
              <w:left w:val="single" w:color="auto" w:sz="4" w:space="0"/>
              <w:bottom w:val="single" w:color="auto" w:sz="4" w:space="0"/>
              <w:right w:val="single" w:color="auto" w:sz="4" w:space="0"/>
            </w:tcBorders>
            <w:vAlign w:val="center"/>
          </w:tcPr>
          <w:p w14:paraId="449C88C7">
            <w:pPr>
              <w:pStyle w:val="6"/>
              <w:spacing w:line="360" w:lineRule="auto"/>
              <w:jc w:val="center"/>
              <w:rPr>
                <w:rFonts w:hAnsi="宋体"/>
                <w:sz w:val="24"/>
                <w:szCs w:val="24"/>
              </w:rPr>
            </w:pPr>
            <w:r>
              <w:rPr>
                <w:rFonts w:hint="eastAsia" w:hAnsi="宋体"/>
                <w:sz w:val="24"/>
                <w:szCs w:val="24"/>
              </w:rPr>
              <w:t>数量</w:t>
            </w:r>
          </w:p>
        </w:tc>
        <w:tc>
          <w:tcPr>
            <w:tcW w:w="1800" w:type="dxa"/>
            <w:tcBorders>
              <w:top w:val="single" w:color="auto" w:sz="4" w:space="0"/>
              <w:left w:val="single" w:color="auto" w:sz="4" w:space="0"/>
              <w:bottom w:val="single" w:color="auto" w:sz="4" w:space="0"/>
              <w:right w:val="single" w:color="auto" w:sz="4" w:space="0"/>
            </w:tcBorders>
            <w:vAlign w:val="center"/>
          </w:tcPr>
          <w:p w14:paraId="3870E63D">
            <w:pPr>
              <w:pStyle w:val="6"/>
              <w:spacing w:line="360" w:lineRule="auto"/>
              <w:jc w:val="center"/>
              <w:rPr>
                <w:rFonts w:hAnsi="宋体"/>
                <w:sz w:val="24"/>
                <w:szCs w:val="24"/>
              </w:rPr>
            </w:pPr>
            <w:r>
              <w:rPr>
                <w:rFonts w:hint="eastAsia" w:hAnsi="宋体"/>
                <w:sz w:val="24"/>
                <w:szCs w:val="24"/>
              </w:rPr>
              <w:t>主要技术规格</w:t>
            </w:r>
          </w:p>
        </w:tc>
        <w:tc>
          <w:tcPr>
            <w:tcW w:w="1260" w:type="dxa"/>
            <w:tcBorders>
              <w:top w:val="single" w:color="auto" w:sz="4" w:space="0"/>
              <w:left w:val="single" w:color="auto" w:sz="4" w:space="0"/>
              <w:bottom w:val="single" w:color="auto" w:sz="4" w:space="0"/>
              <w:right w:val="single" w:color="auto" w:sz="4" w:space="0"/>
            </w:tcBorders>
            <w:vAlign w:val="center"/>
          </w:tcPr>
          <w:p w14:paraId="62CC5E1C">
            <w:pPr>
              <w:pStyle w:val="6"/>
              <w:spacing w:line="360" w:lineRule="auto"/>
              <w:jc w:val="center"/>
              <w:rPr>
                <w:rFonts w:hAnsi="宋体"/>
                <w:sz w:val="24"/>
                <w:szCs w:val="24"/>
              </w:rPr>
            </w:pPr>
            <w:r>
              <w:rPr>
                <w:rFonts w:hint="eastAsia" w:hAnsi="宋体"/>
                <w:sz w:val="24"/>
                <w:szCs w:val="24"/>
              </w:rPr>
              <w:t>采购单位</w:t>
            </w:r>
          </w:p>
        </w:tc>
        <w:tc>
          <w:tcPr>
            <w:tcW w:w="1296" w:type="dxa"/>
            <w:tcBorders>
              <w:top w:val="single" w:color="auto" w:sz="4" w:space="0"/>
              <w:left w:val="single" w:color="auto" w:sz="4" w:space="0"/>
              <w:bottom w:val="single" w:color="auto" w:sz="4" w:space="0"/>
              <w:right w:val="single" w:color="auto" w:sz="4" w:space="0"/>
            </w:tcBorders>
            <w:vAlign w:val="center"/>
          </w:tcPr>
          <w:p w14:paraId="424AA01A">
            <w:pPr>
              <w:pStyle w:val="6"/>
              <w:spacing w:line="360" w:lineRule="auto"/>
              <w:jc w:val="center"/>
              <w:rPr>
                <w:rFonts w:hAnsi="宋体"/>
                <w:sz w:val="24"/>
                <w:szCs w:val="24"/>
              </w:rPr>
            </w:pPr>
            <w:r>
              <w:rPr>
                <w:rFonts w:hint="eastAsia" w:hAnsi="宋体"/>
                <w:sz w:val="24"/>
                <w:szCs w:val="24"/>
              </w:rPr>
              <w:t>联系人</w:t>
            </w:r>
          </w:p>
        </w:tc>
        <w:tc>
          <w:tcPr>
            <w:tcW w:w="1584" w:type="dxa"/>
            <w:tcBorders>
              <w:top w:val="single" w:color="auto" w:sz="4" w:space="0"/>
              <w:left w:val="single" w:color="auto" w:sz="4" w:space="0"/>
              <w:bottom w:val="single" w:color="auto" w:sz="4" w:space="0"/>
              <w:right w:val="single" w:color="auto" w:sz="4" w:space="0"/>
            </w:tcBorders>
            <w:vAlign w:val="center"/>
          </w:tcPr>
          <w:p w14:paraId="62F6EAF9">
            <w:pPr>
              <w:pStyle w:val="6"/>
              <w:spacing w:line="360" w:lineRule="auto"/>
              <w:jc w:val="center"/>
              <w:rPr>
                <w:rFonts w:hAnsi="宋体"/>
                <w:sz w:val="24"/>
                <w:szCs w:val="24"/>
              </w:rPr>
            </w:pPr>
            <w:r>
              <w:rPr>
                <w:rFonts w:hint="eastAsia" w:hAnsi="宋体"/>
                <w:sz w:val="24"/>
                <w:szCs w:val="24"/>
              </w:rPr>
              <w:t>联系电话</w:t>
            </w:r>
          </w:p>
        </w:tc>
      </w:tr>
      <w:tr w14:paraId="7A48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008" w:type="dxa"/>
            <w:tcBorders>
              <w:top w:val="single" w:color="auto" w:sz="4" w:space="0"/>
              <w:left w:val="single" w:color="auto" w:sz="4" w:space="0"/>
              <w:bottom w:val="single" w:color="auto" w:sz="4" w:space="0"/>
              <w:right w:val="single" w:color="auto" w:sz="4" w:space="0"/>
            </w:tcBorders>
            <w:vAlign w:val="center"/>
          </w:tcPr>
          <w:p w14:paraId="465DB59C">
            <w:pPr>
              <w:pStyle w:val="6"/>
              <w:spacing w:line="360" w:lineRule="auto"/>
              <w:jc w:val="center"/>
              <w:rPr>
                <w:rFonts w:hAnsi="宋体"/>
                <w:sz w:val="24"/>
                <w:szCs w:val="24"/>
              </w:rPr>
            </w:pPr>
            <w:r>
              <w:rPr>
                <w:rFonts w:hint="eastAsia" w:hAnsi="宋体"/>
                <w:sz w:val="24"/>
                <w:szCs w:val="24"/>
              </w:rPr>
              <w:t>1</w:t>
            </w:r>
          </w:p>
        </w:tc>
        <w:tc>
          <w:tcPr>
            <w:tcW w:w="1935" w:type="dxa"/>
            <w:tcBorders>
              <w:top w:val="single" w:color="auto" w:sz="4" w:space="0"/>
              <w:left w:val="single" w:color="auto" w:sz="4" w:space="0"/>
              <w:bottom w:val="single" w:color="auto" w:sz="4" w:space="0"/>
              <w:right w:val="single" w:color="auto" w:sz="4" w:space="0"/>
            </w:tcBorders>
            <w:vAlign w:val="center"/>
          </w:tcPr>
          <w:p w14:paraId="3979112A">
            <w:pPr>
              <w:pStyle w:val="6"/>
              <w:spacing w:line="360" w:lineRule="auto"/>
              <w:jc w:val="center"/>
              <w:rPr>
                <w:rFonts w:hint="default" w:hAnsi="宋体" w:eastAsia="宋体"/>
                <w:sz w:val="24"/>
                <w:szCs w:val="24"/>
                <w:lang w:val="en-US" w:eastAsia="zh-CN"/>
              </w:rPr>
            </w:pPr>
            <w:r>
              <w:rPr>
                <w:rFonts w:hint="eastAsia" w:hAnsi="宋体"/>
                <w:sz w:val="24"/>
                <w:szCs w:val="24"/>
                <w:lang w:val="en-US" w:eastAsia="zh-CN"/>
              </w:rPr>
              <w:t>口腔综合治疗台水路消毒系统</w:t>
            </w:r>
          </w:p>
        </w:tc>
        <w:tc>
          <w:tcPr>
            <w:tcW w:w="1125" w:type="dxa"/>
            <w:tcBorders>
              <w:top w:val="single" w:color="auto" w:sz="4" w:space="0"/>
              <w:left w:val="single" w:color="auto" w:sz="4" w:space="0"/>
              <w:bottom w:val="single" w:color="auto" w:sz="4" w:space="0"/>
              <w:right w:val="single" w:color="auto" w:sz="4" w:space="0"/>
            </w:tcBorders>
            <w:vAlign w:val="center"/>
          </w:tcPr>
          <w:p w14:paraId="7BA653D2">
            <w:pPr>
              <w:pStyle w:val="6"/>
              <w:spacing w:line="360" w:lineRule="auto"/>
              <w:jc w:val="center"/>
              <w:rPr>
                <w:rFonts w:hAnsi="宋体"/>
                <w:sz w:val="24"/>
                <w:szCs w:val="24"/>
              </w:rPr>
            </w:pPr>
            <w:r>
              <w:rPr>
                <w:rFonts w:hint="eastAsia" w:hAnsi="宋体"/>
                <w:sz w:val="24"/>
                <w:szCs w:val="24"/>
              </w:rPr>
              <w:t>一套</w:t>
            </w:r>
          </w:p>
        </w:tc>
        <w:tc>
          <w:tcPr>
            <w:tcW w:w="1800" w:type="dxa"/>
            <w:tcBorders>
              <w:left w:val="single" w:color="auto" w:sz="4" w:space="0"/>
              <w:right w:val="single" w:color="auto" w:sz="4" w:space="0"/>
            </w:tcBorders>
            <w:vAlign w:val="center"/>
          </w:tcPr>
          <w:p w14:paraId="24D836E6">
            <w:pPr>
              <w:widowControl/>
              <w:spacing w:line="360" w:lineRule="auto"/>
              <w:jc w:val="center"/>
              <w:rPr>
                <w:rFonts w:ascii="宋体" w:hAnsi="宋体"/>
                <w:sz w:val="24"/>
              </w:rPr>
            </w:pPr>
            <w:r>
              <w:rPr>
                <w:rFonts w:hint="eastAsia" w:ascii="宋体" w:hAnsi="宋体"/>
                <w:sz w:val="24"/>
              </w:rPr>
              <w:t>详见招标文件</w:t>
            </w:r>
          </w:p>
        </w:tc>
        <w:tc>
          <w:tcPr>
            <w:tcW w:w="1260" w:type="dxa"/>
            <w:tcBorders>
              <w:left w:val="single" w:color="auto" w:sz="4" w:space="0"/>
              <w:right w:val="single" w:color="auto" w:sz="4" w:space="0"/>
            </w:tcBorders>
            <w:vAlign w:val="center"/>
          </w:tcPr>
          <w:p w14:paraId="1CDA05A3">
            <w:pPr>
              <w:widowControl/>
              <w:spacing w:line="360" w:lineRule="auto"/>
              <w:jc w:val="center"/>
              <w:rPr>
                <w:rFonts w:ascii="宋体" w:hAnsi="宋体"/>
                <w:sz w:val="24"/>
              </w:rPr>
            </w:pPr>
            <w:r>
              <w:rPr>
                <w:rFonts w:hint="eastAsia" w:ascii="宋体" w:hAnsi="宋体"/>
                <w:sz w:val="24"/>
              </w:rPr>
              <w:t>三明市第一医院</w:t>
            </w:r>
          </w:p>
        </w:tc>
        <w:tc>
          <w:tcPr>
            <w:tcW w:w="1296" w:type="dxa"/>
            <w:tcBorders>
              <w:left w:val="single" w:color="auto" w:sz="4" w:space="0"/>
              <w:right w:val="single" w:color="auto" w:sz="4" w:space="0"/>
            </w:tcBorders>
            <w:vAlign w:val="center"/>
          </w:tcPr>
          <w:p w14:paraId="21EDD602">
            <w:pPr>
              <w:widowControl/>
              <w:spacing w:line="360" w:lineRule="auto"/>
              <w:jc w:val="center"/>
              <w:rPr>
                <w:rFonts w:hint="default" w:ascii="宋体" w:hAnsi="宋体" w:eastAsia="宋体"/>
                <w:sz w:val="24"/>
                <w:lang w:val="en-US" w:eastAsia="zh-CN"/>
              </w:rPr>
            </w:pPr>
            <w:r>
              <w:rPr>
                <w:rFonts w:hint="eastAsia" w:ascii="宋体" w:hAnsi="宋体"/>
                <w:sz w:val="24"/>
                <w:lang w:val="en-US" w:eastAsia="zh-CN"/>
              </w:rPr>
              <w:t>李工</w:t>
            </w:r>
          </w:p>
        </w:tc>
        <w:tc>
          <w:tcPr>
            <w:tcW w:w="1584" w:type="dxa"/>
            <w:tcBorders>
              <w:left w:val="single" w:color="auto" w:sz="4" w:space="0"/>
              <w:right w:val="single" w:color="auto" w:sz="4" w:space="0"/>
            </w:tcBorders>
            <w:vAlign w:val="center"/>
          </w:tcPr>
          <w:p w14:paraId="39FE9B74">
            <w:pPr>
              <w:widowControl/>
              <w:spacing w:line="360" w:lineRule="auto"/>
              <w:jc w:val="center"/>
              <w:rPr>
                <w:rFonts w:hint="default" w:hAnsi="宋体" w:eastAsia="宋体"/>
                <w:sz w:val="24"/>
                <w:lang w:val="en-US" w:eastAsia="zh-CN"/>
              </w:rPr>
            </w:pPr>
            <w:r>
              <w:rPr>
                <w:rFonts w:hint="eastAsia" w:hAnsi="宋体"/>
                <w:sz w:val="24"/>
                <w:lang w:val="en-US" w:eastAsia="zh-CN"/>
              </w:rPr>
              <w:t>8803971</w:t>
            </w:r>
          </w:p>
        </w:tc>
      </w:tr>
    </w:tbl>
    <w:p w14:paraId="14DD0011">
      <w:pPr>
        <w:tabs>
          <w:tab w:val="left" w:pos="315"/>
          <w:tab w:val="left" w:pos="525"/>
          <w:tab w:val="left" w:pos="840"/>
        </w:tabs>
        <w:spacing w:line="420" w:lineRule="exact"/>
        <w:ind w:left="-2" w:leftChars="-3" w:hanging="4" w:hangingChars="2"/>
        <w:rPr>
          <w:rFonts w:ascii="宋体" w:hAnsi="宋体"/>
          <w:sz w:val="24"/>
        </w:rPr>
      </w:pPr>
      <w:r>
        <w:rPr>
          <w:rFonts w:hint="eastAsia" w:ascii="宋体" w:hAnsi="宋体"/>
          <w:sz w:val="24"/>
        </w:rPr>
        <w:t>2.招标文件领取：符合条件的合格供应商可以与三明市第一医院设备科联系。</w:t>
      </w:r>
    </w:p>
    <w:p w14:paraId="0C7A1880">
      <w:pPr>
        <w:tabs>
          <w:tab w:val="left" w:pos="315"/>
          <w:tab w:val="left" w:pos="525"/>
          <w:tab w:val="left" w:pos="840"/>
        </w:tabs>
        <w:spacing w:line="420" w:lineRule="exact"/>
        <w:ind w:left="-2" w:leftChars="-3" w:hanging="4" w:hangingChars="2"/>
        <w:rPr>
          <w:rFonts w:ascii="宋体" w:hAnsi="宋体"/>
          <w:sz w:val="24"/>
        </w:rPr>
      </w:pPr>
      <w:r>
        <w:rPr>
          <w:rFonts w:hint="eastAsia" w:ascii="宋体" w:hAnsi="宋体"/>
          <w:sz w:val="24"/>
        </w:rPr>
        <w:t>3.开标时间：开标时间定于</w:t>
      </w:r>
      <w:r>
        <w:rPr>
          <w:rFonts w:hint="eastAsia" w:ascii="宋体" w:hAnsi="宋体"/>
          <w:color w:val="auto"/>
          <w:sz w:val="24"/>
          <w:highlight w:val="none"/>
        </w:rPr>
        <w:t>20</w:t>
      </w:r>
      <w:r>
        <w:rPr>
          <w:rFonts w:hint="eastAsia" w:ascii="宋体" w:hAnsi="宋体"/>
          <w:color w:val="auto"/>
          <w:sz w:val="24"/>
          <w:highlight w:val="none"/>
          <w:lang w:val="en-US" w:eastAsia="zh-CN"/>
        </w:rPr>
        <w:t>25</w:t>
      </w:r>
      <w:r>
        <w:rPr>
          <w:rFonts w:hint="eastAsia" w:ascii="宋体" w:hAnsi="宋体"/>
          <w:color w:val="auto"/>
          <w:sz w:val="24"/>
          <w:highlight w:val="none"/>
        </w:rPr>
        <w:t>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日下午16：00</w:t>
      </w:r>
      <w:r>
        <w:rPr>
          <w:rFonts w:hint="eastAsia" w:ascii="宋体" w:hAnsi="宋体"/>
          <w:sz w:val="24"/>
        </w:rPr>
        <w:t>（北京时间）</w:t>
      </w:r>
    </w:p>
    <w:p w14:paraId="4F07BCA6">
      <w:pPr>
        <w:tabs>
          <w:tab w:val="left" w:pos="315"/>
          <w:tab w:val="left" w:pos="525"/>
          <w:tab w:val="left" w:pos="840"/>
        </w:tabs>
        <w:spacing w:line="420" w:lineRule="exact"/>
        <w:ind w:left="-2" w:leftChars="-3" w:hanging="4" w:hangingChars="2"/>
        <w:rPr>
          <w:rFonts w:ascii="宋体" w:hAnsi="宋体"/>
          <w:sz w:val="24"/>
        </w:rPr>
      </w:pPr>
      <w:r>
        <w:rPr>
          <w:rFonts w:hint="eastAsia" w:ascii="宋体" w:hAnsi="宋体"/>
          <w:sz w:val="24"/>
        </w:rPr>
        <w:t>4.开标地点：三明市第一医院临时门诊大楼8</w:t>
      </w:r>
      <w:r>
        <w:rPr>
          <w:rFonts w:hint="eastAsia" w:ascii="宋体" w:hAnsi="宋体"/>
          <w:sz w:val="24"/>
          <w:lang w:val="en-US" w:eastAsia="zh-CN"/>
        </w:rPr>
        <w:t>12</w:t>
      </w:r>
      <w:r>
        <w:rPr>
          <w:rFonts w:hint="eastAsia" w:ascii="宋体" w:hAnsi="宋体"/>
          <w:sz w:val="24"/>
        </w:rPr>
        <w:t>室。</w:t>
      </w:r>
    </w:p>
    <w:p w14:paraId="6FE40FE6">
      <w:pPr>
        <w:tabs>
          <w:tab w:val="left" w:pos="315"/>
          <w:tab w:val="left" w:pos="525"/>
          <w:tab w:val="left" w:pos="840"/>
        </w:tabs>
        <w:spacing w:line="420" w:lineRule="exact"/>
        <w:ind w:left="-2" w:leftChars="-3" w:hanging="4" w:hangingChars="2"/>
        <w:rPr>
          <w:rFonts w:ascii="宋体" w:hAnsi="宋体"/>
          <w:sz w:val="24"/>
        </w:rPr>
      </w:pPr>
      <w:r>
        <w:rPr>
          <w:rFonts w:hint="eastAsia" w:ascii="宋体" w:hAnsi="宋体"/>
          <w:sz w:val="24"/>
        </w:rPr>
        <w:t>5.评标方法：带“*</w:t>
      </w:r>
      <w:r>
        <w:rPr>
          <w:rFonts w:ascii="宋体" w:hAnsi="宋体"/>
          <w:sz w:val="24"/>
        </w:rPr>
        <w:t>”</w:t>
      </w:r>
      <w:r>
        <w:rPr>
          <w:rFonts w:hint="eastAsia" w:ascii="宋体" w:hAnsi="宋体"/>
          <w:sz w:val="24"/>
        </w:rPr>
        <w:t>条款为关键性参数，投标人在满足询价文件所有条件的基础上，最低报价的投标人为中标候选供应商。</w:t>
      </w:r>
    </w:p>
    <w:p w14:paraId="6ADBCB27">
      <w:pPr>
        <w:tabs>
          <w:tab w:val="left" w:pos="315"/>
          <w:tab w:val="left" w:pos="525"/>
          <w:tab w:val="left" w:pos="840"/>
        </w:tabs>
        <w:spacing w:line="420" w:lineRule="exact"/>
        <w:ind w:left="-2" w:leftChars="-3" w:hanging="4" w:hangingChars="2"/>
        <w:rPr>
          <w:rFonts w:ascii="宋体" w:hAnsi="宋体"/>
          <w:sz w:val="24"/>
        </w:rPr>
      </w:pPr>
      <w:r>
        <w:rPr>
          <w:rFonts w:hint="eastAsia" w:ascii="宋体" w:hAnsi="宋体"/>
          <w:sz w:val="24"/>
        </w:rPr>
        <w:t>6.付款方式：</w:t>
      </w:r>
      <w:r>
        <w:rPr>
          <w:rFonts w:hint="eastAsia" w:ascii="宋体" w:hAnsi="宋体"/>
          <w:sz w:val="24"/>
          <w:lang w:val="en-US" w:eastAsia="zh-CN"/>
        </w:rPr>
        <w:t>见第二章第九条</w:t>
      </w:r>
      <w:r>
        <w:rPr>
          <w:rFonts w:hint="eastAsia" w:ascii="宋体" w:hAnsi="宋体"/>
          <w:sz w:val="24"/>
        </w:rPr>
        <w:t>。</w:t>
      </w:r>
    </w:p>
    <w:p w14:paraId="1E672E1F">
      <w:pPr>
        <w:tabs>
          <w:tab w:val="left" w:pos="315"/>
          <w:tab w:val="left" w:pos="525"/>
          <w:tab w:val="left" w:pos="840"/>
        </w:tabs>
        <w:spacing w:line="420" w:lineRule="exact"/>
        <w:ind w:left="-2" w:leftChars="-3" w:hanging="4" w:hangingChars="2"/>
        <w:rPr>
          <w:rFonts w:ascii="宋体" w:hAnsi="宋体"/>
          <w:sz w:val="24"/>
        </w:rPr>
      </w:pPr>
      <w:r>
        <w:rPr>
          <w:rFonts w:hint="eastAsia" w:ascii="宋体" w:hAnsi="宋体"/>
          <w:sz w:val="24"/>
        </w:rPr>
        <w:t>7、采购项目预算金额：该项目预算金额总价为9万元，投标人的投标报价超过预算价为无效报价，其投标按废标处理。</w:t>
      </w:r>
    </w:p>
    <w:p w14:paraId="597C789B">
      <w:pPr>
        <w:spacing w:line="500" w:lineRule="exact"/>
        <w:ind w:left="1440" w:hanging="1440" w:hangingChars="600"/>
        <w:rPr>
          <w:rFonts w:ascii="宋体" w:hAnsi="宋体"/>
          <w:sz w:val="24"/>
        </w:rPr>
      </w:pPr>
      <w:r>
        <w:rPr>
          <w:rFonts w:hint="eastAsia" w:ascii="宋体" w:hAnsi="宋体"/>
          <w:sz w:val="24"/>
        </w:rPr>
        <w:t>8、供货时间：合同签订后</w:t>
      </w:r>
      <w:r>
        <w:rPr>
          <w:rFonts w:hint="eastAsia" w:ascii="宋体" w:hAnsi="宋体"/>
          <w:sz w:val="24"/>
          <w:lang w:val="en-US" w:eastAsia="zh-CN"/>
        </w:rPr>
        <w:t>60</w:t>
      </w:r>
      <w:r>
        <w:rPr>
          <w:rFonts w:hint="eastAsia" w:ascii="宋体" w:hAnsi="宋体"/>
          <w:sz w:val="24"/>
        </w:rPr>
        <w:t>天。</w:t>
      </w:r>
    </w:p>
    <w:p w14:paraId="0B701F20">
      <w:pPr>
        <w:snapToGrid w:val="0"/>
        <w:spacing w:line="400" w:lineRule="exact"/>
        <w:rPr>
          <w:rFonts w:ascii="宋体" w:hAnsi="宋体"/>
          <w:sz w:val="24"/>
        </w:rPr>
      </w:pPr>
      <w:r>
        <w:rPr>
          <w:rFonts w:hint="eastAsia" w:ascii="宋体" w:hAnsi="宋体" w:cs="Tahoma"/>
          <w:sz w:val="24"/>
        </w:rPr>
        <w:t>9.资质要求:</w:t>
      </w:r>
    </w:p>
    <w:p w14:paraId="238F0F86">
      <w:pPr>
        <w:tabs>
          <w:tab w:val="left" w:pos="315"/>
          <w:tab w:val="left" w:pos="525"/>
          <w:tab w:val="left" w:pos="840"/>
        </w:tabs>
        <w:spacing w:line="420" w:lineRule="exact"/>
        <w:ind w:left="-2" w:leftChars="-3" w:hanging="4" w:hangingChars="2"/>
        <w:rPr>
          <w:rFonts w:ascii="宋体" w:hAnsi="宋体"/>
          <w:sz w:val="24"/>
        </w:rPr>
      </w:pPr>
      <w:r>
        <w:rPr>
          <w:rFonts w:hint="eastAsia" w:ascii="宋体" w:hAnsi="宋体"/>
          <w:sz w:val="24"/>
        </w:rPr>
        <w:t>9.1、投标人须具备经过年检，在有效期内企业法人有“统一社会信用代码”的营业执照复印件（三证合一），并加盖投标人公章。</w:t>
      </w:r>
    </w:p>
    <w:p w14:paraId="4146F1B6">
      <w:pPr>
        <w:tabs>
          <w:tab w:val="left" w:pos="315"/>
          <w:tab w:val="left" w:pos="525"/>
          <w:tab w:val="left" w:pos="840"/>
        </w:tabs>
        <w:spacing w:line="420" w:lineRule="exact"/>
        <w:rPr>
          <w:rFonts w:ascii="宋体" w:hAnsi="宋体"/>
          <w:sz w:val="24"/>
        </w:rPr>
      </w:pPr>
      <w:r>
        <w:rPr>
          <w:rFonts w:hint="eastAsia" w:ascii="宋体" w:hAnsi="宋体"/>
          <w:sz w:val="24"/>
        </w:rPr>
        <w:t>9.2、所投货物属于医疗器械管理范畴，须按照国家《医疗器械监督管理条例》提供相应证明材料：①供应商为生产企业的，所投货物若属于第一类医疗器械产品，须提供《第一类医疗器械生产备案凭证》复印件（进口产品除外）加盖供应商公章，投标货物若属于第二类、三类医疗器械产品，须提供《医疗器械生产许可证》复印件（进口产品除外）加盖供应商公章；供应商为经营企业的，所投货物若属于第三类医疗器械产品，须提供《医疗器械经营许可证》复印件加盖供应商公章，所投货物若属于第二类医疗器械产品，须提供《第二类医疗器械经营备案凭证》复印件加盖供应商公章，所投货物若属于第一类医疗器械产品，则无须提供此项；②所投货物属于《医疗器械监督管理条例》规定的第一类医疗器械产品，须提供《第一类医疗器械产品备案凭证》复印件加盖供应商公章，属于第二类、第三类医疗器械产品，须提供《医疗器械注册证》复印件加盖供应商公章。</w:t>
      </w:r>
    </w:p>
    <w:p w14:paraId="1A1514E3">
      <w:pPr>
        <w:tabs>
          <w:tab w:val="left" w:pos="315"/>
          <w:tab w:val="left" w:pos="525"/>
          <w:tab w:val="left" w:pos="840"/>
        </w:tabs>
        <w:spacing w:line="420" w:lineRule="exact"/>
        <w:rPr>
          <w:rFonts w:hint="eastAsia" w:ascii="宋体" w:hAnsi="宋体" w:eastAsia="宋体"/>
          <w:sz w:val="24"/>
          <w:lang w:val="en-US" w:eastAsia="zh-CN"/>
        </w:rPr>
      </w:pPr>
      <w:r>
        <w:rPr>
          <w:rFonts w:hint="eastAsia" w:ascii="宋体" w:hAnsi="宋体" w:eastAsia="宋体"/>
          <w:sz w:val="24"/>
        </w:rPr>
        <w:t>9.</w:t>
      </w:r>
      <w:r>
        <w:rPr>
          <w:rFonts w:hint="eastAsia" w:ascii="宋体" w:hAnsi="宋体" w:eastAsia="宋体"/>
          <w:sz w:val="24"/>
          <w:lang w:val="en-US" w:eastAsia="zh-CN"/>
        </w:rPr>
        <w:t>3</w:t>
      </w:r>
      <w:r>
        <w:rPr>
          <w:rFonts w:hint="eastAsia" w:ascii="宋体" w:hAnsi="宋体" w:eastAsia="宋体"/>
          <w:sz w:val="24"/>
        </w:rPr>
        <w:t>、投标人信用信息情况</w:t>
      </w:r>
      <w:r>
        <w:rPr>
          <w:rFonts w:hint="eastAsia" w:ascii="宋体" w:hAnsi="宋体" w:eastAsia="宋体"/>
          <w:sz w:val="24"/>
        </w:rPr>
        <w:tab/>
      </w:r>
      <w:r>
        <w:rPr>
          <w:rFonts w:hint="eastAsia" w:ascii="宋体" w:hAnsi="宋体" w:eastAsia="宋体"/>
          <w:sz w:val="24"/>
        </w:rPr>
        <w:t>根据财库〔2016〕125号文件规定，投标人不得被列入失信被执行人、重大税收违法案件当事人名单、政府采购严重违法失信行为记录名单，通过“信用中国”网站（www.creditchina.gov.cn）和中国政府采购网（www.ccgp.gov.cn）查询其上述信用记录的信用信息查询结果网页打印件或截图（均须注明网址）</w:t>
      </w:r>
      <w:r>
        <w:rPr>
          <w:rFonts w:hint="eastAsia" w:ascii="宋体" w:hAnsi="宋体" w:eastAsia="宋体"/>
          <w:sz w:val="24"/>
          <w:lang w:eastAsia="zh-CN"/>
        </w:rPr>
        <w:t>。</w:t>
      </w:r>
    </w:p>
    <w:p w14:paraId="3CDACA3D">
      <w:pPr>
        <w:tabs>
          <w:tab w:val="left" w:pos="315"/>
          <w:tab w:val="left" w:pos="525"/>
          <w:tab w:val="left" w:pos="840"/>
        </w:tabs>
        <w:spacing w:line="420" w:lineRule="exact"/>
        <w:rPr>
          <w:rFonts w:hint="eastAsia" w:ascii="宋体" w:hAnsi="宋体" w:eastAsia="宋体"/>
          <w:sz w:val="24"/>
          <w:lang w:eastAsia="zh-CN"/>
        </w:rPr>
      </w:pPr>
      <w:r>
        <w:rPr>
          <w:rFonts w:hint="eastAsia" w:ascii="宋体" w:hAnsi="宋体" w:eastAsia="宋体"/>
          <w:sz w:val="24"/>
        </w:rPr>
        <w:t>9.</w:t>
      </w:r>
      <w:r>
        <w:rPr>
          <w:rFonts w:hint="eastAsia" w:ascii="宋体" w:hAnsi="宋体" w:eastAsia="宋体"/>
          <w:sz w:val="24"/>
          <w:lang w:val="en-US" w:eastAsia="zh-CN"/>
        </w:rPr>
        <w:t>4</w:t>
      </w:r>
      <w:r>
        <w:rPr>
          <w:rFonts w:hint="eastAsia" w:ascii="宋体" w:hAnsi="宋体" w:eastAsia="宋体"/>
          <w:sz w:val="24"/>
        </w:rPr>
        <w:t>、投标人法定代表人的授权书原件及投标人法定代表人的身份证复印件</w:t>
      </w:r>
      <w:r>
        <w:rPr>
          <w:rFonts w:hint="eastAsia" w:ascii="宋体" w:hAnsi="宋体" w:eastAsia="宋体"/>
          <w:sz w:val="24"/>
          <w:lang w:eastAsia="zh-CN"/>
        </w:rPr>
        <w:t>。</w:t>
      </w:r>
    </w:p>
    <w:p w14:paraId="17DA589F">
      <w:pPr>
        <w:tabs>
          <w:tab w:val="left" w:pos="315"/>
          <w:tab w:val="left" w:pos="525"/>
          <w:tab w:val="left" w:pos="840"/>
        </w:tabs>
        <w:spacing w:line="420" w:lineRule="exact"/>
        <w:rPr>
          <w:rFonts w:hint="eastAsia" w:ascii="宋体" w:hAnsi="宋体" w:eastAsia="宋体"/>
          <w:sz w:val="24"/>
          <w:lang w:eastAsia="zh-CN"/>
        </w:rPr>
      </w:pPr>
      <w:r>
        <w:rPr>
          <w:rFonts w:hint="eastAsia" w:ascii="宋体" w:hAnsi="宋体" w:eastAsia="宋体"/>
          <w:sz w:val="24"/>
          <w:lang w:val="en-US" w:eastAsia="zh-CN"/>
        </w:rPr>
        <w:t>9.5、</w:t>
      </w:r>
      <w:r>
        <w:rPr>
          <w:rFonts w:hint="eastAsia" w:ascii="宋体" w:hAnsi="宋体"/>
          <w:sz w:val="24"/>
        </w:rPr>
        <w:t>投标人代表的身份证原件及复印件</w:t>
      </w:r>
      <w:r>
        <w:rPr>
          <w:rFonts w:hint="eastAsia" w:ascii="宋体" w:hAnsi="宋体"/>
          <w:sz w:val="24"/>
          <w:lang w:eastAsia="zh-CN"/>
        </w:rPr>
        <w:t>；</w:t>
      </w:r>
      <w:r>
        <w:rPr>
          <w:rFonts w:hint="eastAsia" w:ascii="宋体" w:hAnsi="宋体" w:eastAsia="宋体"/>
          <w:sz w:val="24"/>
        </w:rPr>
        <w:t>a、</w:t>
      </w:r>
      <w:r>
        <w:rPr>
          <w:rFonts w:hint="eastAsia" w:ascii="宋体" w:hAnsi="宋体"/>
          <w:sz w:val="24"/>
        </w:rPr>
        <w:t>投标人在参与投标时应提供投标委托代理人的近一年的社保缴纳证明材料；b、若投标委托代理人社保缴纳不足一年，应提供目前已缴纳月份的社保缴纳证明材料；c、若投标委托代理人未缴纳社保，应提供未缴纳社保证明材料。</w:t>
      </w:r>
    </w:p>
    <w:p w14:paraId="6AC88786">
      <w:pPr>
        <w:tabs>
          <w:tab w:val="left" w:pos="315"/>
          <w:tab w:val="left" w:pos="525"/>
          <w:tab w:val="left" w:pos="840"/>
        </w:tabs>
        <w:spacing w:line="420" w:lineRule="exact"/>
        <w:rPr>
          <w:rFonts w:ascii="宋体" w:hAnsi="宋体"/>
          <w:sz w:val="24"/>
        </w:rPr>
      </w:pPr>
      <w:r>
        <w:rPr>
          <w:rFonts w:hint="eastAsia" w:ascii="宋体" w:hAnsi="宋体"/>
          <w:sz w:val="24"/>
        </w:rPr>
        <w:t>9.</w:t>
      </w:r>
      <w:r>
        <w:rPr>
          <w:rFonts w:hint="eastAsia" w:ascii="宋体" w:hAnsi="宋体"/>
          <w:sz w:val="24"/>
          <w:lang w:val="en-US" w:eastAsia="zh-CN"/>
        </w:rPr>
        <w:t>6</w:t>
      </w:r>
      <w:r>
        <w:rPr>
          <w:rFonts w:hint="eastAsia" w:ascii="宋体" w:hAnsi="宋体"/>
          <w:sz w:val="24"/>
        </w:rPr>
        <w:t>、投标人对以上需提供资料的真实性负责，如有虚假或不实之处，将失去合格投标人资格。</w:t>
      </w:r>
    </w:p>
    <w:p w14:paraId="0A7D3994">
      <w:pPr>
        <w:tabs>
          <w:tab w:val="left" w:pos="315"/>
          <w:tab w:val="left" w:pos="525"/>
          <w:tab w:val="left" w:pos="840"/>
        </w:tabs>
        <w:spacing w:line="420" w:lineRule="exact"/>
        <w:rPr>
          <w:rFonts w:ascii="宋体" w:hAnsi="宋体"/>
          <w:sz w:val="24"/>
        </w:rPr>
      </w:pPr>
      <w:r>
        <w:rPr>
          <w:rFonts w:hint="eastAsia" w:ascii="宋体" w:hAnsi="宋体"/>
          <w:sz w:val="24"/>
        </w:rPr>
        <w:t>10.其它要求：欢迎合格的投标人前来提交密封的投标文件，（投标文件一正二副共三份，须设置技术偏离表和商务偏离表对第二章各项要求做出响应）</w:t>
      </w:r>
      <w:r>
        <w:rPr>
          <w:rFonts w:hint="eastAsia" w:ascii="宋体" w:hAnsi="宋体"/>
          <w:color w:val="000000"/>
          <w:sz w:val="24"/>
        </w:rPr>
        <w:t>。</w:t>
      </w:r>
    </w:p>
    <w:p w14:paraId="6D9F57F3">
      <w:pPr>
        <w:pStyle w:val="14"/>
        <w:spacing w:line="460" w:lineRule="exact"/>
        <w:rPr>
          <w:rFonts w:hAnsi="宋体"/>
        </w:rPr>
      </w:pPr>
    </w:p>
    <w:p w14:paraId="3AAA6AD5">
      <w:pPr>
        <w:pStyle w:val="14"/>
        <w:spacing w:line="460" w:lineRule="exact"/>
        <w:jc w:val="center"/>
        <w:rPr>
          <w:rFonts w:hAnsi="宋体"/>
          <w:b/>
        </w:rPr>
      </w:pPr>
      <w:r>
        <w:rPr>
          <w:rFonts w:hint="eastAsia" w:hAnsi="宋体"/>
          <w:b/>
        </w:rPr>
        <w:t>第二章 技术参数及配置</w:t>
      </w:r>
    </w:p>
    <w:p w14:paraId="7A535875">
      <w:pPr>
        <w:adjustRightInd w:val="0"/>
        <w:snapToGrid w:val="0"/>
        <w:spacing w:before="120" w:line="400" w:lineRule="exact"/>
        <w:rPr>
          <w:rFonts w:ascii="宋体" w:hAnsi="宋体"/>
          <w:sz w:val="24"/>
        </w:rPr>
      </w:pPr>
      <w:r>
        <w:rPr>
          <w:rFonts w:hint="eastAsia" w:ascii="宋体" w:hAnsi="宋体"/>
          <w:b/>
          <w:sz w:val="24"/>
        </w:rPr>
        <w:t>一、货物基本要求：</w:t>
      </w:r>
    </w:p>
    <w:p w14:paraId="27C5F676">
      <w:pPr>
        <w:snapToGrid w:val="0"/>
        <w:spacing w:line="440" w:lineRule="atLeast"/>
        <w:ind w:firstLine="480"/>
        <w:rPr>
          <w:rFonts w:ascii="宋体" w:hAnsi="宋体"/>
          <w:sz w:val="24"/>
        </w:rPr>
      </w:pPr>
      <w:r>
        <w:rPr>
          <w:rFonts w:hint="eastAsia" w:ascii="宋体" w:hAnsi="宋体"/>
          <w:sz w:val="24"/>
        </w:rPr>
        <w:t>1.设备为原装全新、高质量、技术先进的产品，生产日期在产品注册证有效期内。</w:t>
      </w:r>
    </w:p>
    <w:p w14:paraId="0CDB07F0">
      <w:pPr>
        <w:snapToGrid w:val="0"/>
        <w:spacing w:line="440" w:lineRule="atLeast"/>
        <w:ind w:firstLine="480"/>
        <w:rPr>
          <w:rFonts w:ascii="宋体" w:hAnsi="宋体"/>
          <w:sz w:val="24"/>
        </w:rPr>
      </w:pPr>
      <w:r>
        <w:rPr>
          <w:rFonts w:hint="eastAsia" w:ascii="宋体" w:hAnsi="宋体"/>
          <w:sz w:val="24"/>
        </w:rPr>
        <w:t>2. 设备应性能稳定、配置齐全、操作简便安全，具有良好升级能力，应确保在保修期内每年完好率不低于95%(以日历日计算)。</w:t>
      </w:r>
    </w:p>
    <w:p w14:paraId="0BCBD0B5">
      <w:pPr>
        <w:snapToGrid w:val="0"/>
        <w:spacing w:line="440" w:lineRule="atLeast"/>
        <w:ind w:firstLine="480"/>
        <w:rPr>
          <w:rFonts w:ascii="宋体" w:hAnsi="宋体"/>
          <w:sz w:val="24"/>
        </w:rPr>
      </w:pPr>
      <w:r>
        <w:rPr>
          <w:rFonts w:hint="eastAsia" w:ascii="宋体" w:hAnsi="宋体"/>
          <w:sz w:val="24"/>
        </w:rPr>
        <w:t>3. 投标时必须提供投标机型的主要零配件规格与价格清单、设备主要耗材规格与价格清单，并应承诺保证投标机型的零配件库存十年以上。</w:t>
      </w:r>
    </w:p>
    <w:p w14:paraId="11A5AD07">
      <w:pPr>
        <w:snapToGrid w:val="0"/>
        <w:spacing w:line="440" w:lineRule="atLeast"/>
        <w:ind w:firstLine="480"/>
        <w:rPr>
          <w:rFonts w:ascii="宋体" w:hAnsi="宋体"/>
          <w:sz w:val="24"/>
        </w:rPr>
      </w:pPr>
      <w:r>
        <w:rPr>
          <w:rFonts w:hint="eastAsia" w:ascii="宋体" w:hAnsi="宋体"/>
          <w:sz w:val="24"/>
        </w:rPr>
        <w:t>4. 投标产品所装软件版本为最新版本，并提供软件终身免费升级服务。</w:t>
      </w:r>
    </w:p>
    <w:p w14:paraId="0A7AD9C0">
      <w:pPr>
        <w:snapToGrid w:val="0"/>
        <w:spacing w:line="440" w:lineRule="atLeast"/>
        <w:ind w:firstLine="480"/>
        <w:rPr>
          <w:rFonts w:ascii="宋体" w:hAnsi="宋体"/>
          <w:sz w:val="24"/>
        </w:rPr>
      </w:pPr>
      <w:r>
        <w:rPr>
          <w:rFonts w:hint="eastAsia" w:ascii="宋体" w:hAnsi="宋体"/>
          <w:sz w:val="24"/>
        </w:rPr>
        <w:t>5. 所投产品必须具备标准接口协议及相应软件，并免费无缝连接到我院相关系统（连接费用由中标方支付）（若有）。</w:t>
      </w:r>
    </w:p>
    <w:p w14:paraId="1FD38F71">
      <w:pPr>
        <w:snapToGrid w:val="0"/>
        <w:spacing w:line="440" w:lineRule="atLeast"/>
        <w:ind w:firstLine="480"/>
        <w:rPr>
          <w:rFonts w:hint="eastAsia" w:ascii="宋体" w:hAnsi="宋体"/>
          <w:sz w:val="24"/>
        </w:rPr>
      </w:pPr>
      <w:r>
        <w:rPr>
          <w:rFonts w:hint="eastAsia" w:ascii="宋体" w:hAnsi="宋体"/>
          <w:sz w:val="24"/>
        </w:rPr>
        <w:t>6.投标人在投标文件中对货物基本要求必须逐条响应，无逐条响应视为未响应招标文件要求。</w:t>
      </w:r>
    </w:p>
    <w:p w14:paraId="7F714FB8">
      <w:pPr>
        <w:snapToGrid w:val="0"/>
        <w:spacing w:line="440" w:lineRule="atLeast"/>
        <w:ind w:firstLine="480"/>
        <w:rPr>
          <w:rFonts w:ascii="宋体" w:hAnsi="宋体"/>
          <w:sz w:val="24"/>
        </w:rPr>
      </w:pPr>
    </w:p>
    <w:p w14:paraId="41FDC313">
      <w:pPr>
        <w:tabs>
          <w:tab w:val="left" w:pos="315"/>
          <w:tab w:val="left" w:pos="525"/>
          <w:tab w:val="left" w:pos="840"/>
        </w:tabs>
        <w:spacing w:line="420" w:lineRule="exact"/>
        <w:rPr>
          <w:rFonts w:ascii="宋体" w:hAnsi="宋体"/>
          <w:sz w:val="24"/>
        </w:rPr>
      </w:pPr>
      <w:r>
        <w:rPr>
          <w:rFonts w:hint="eastAsia" w:ascii="宋体" w:hAnsi="宋体"/>
          <w:sz w:val="24"/>
        </w:rPr>
        <w:t>二、技术参数：</w:t>
      </w:r>
    </w:p>
    <w:p w14:paraId="069F1976">
      <w:pPr>
        <w:snapToGrid w:val="0"/>
        <w:spacing w:line="440" w:lineRule="atLeast"/>
        <w:ind w:firstLine="480"/>
        <w:rPr>
          <w:rFonts w:hint="default" w:ascii="宋体" w:hAnsi="宋体"/>
          <w:b/>
          <w:bCs/>
          <w:sz w:val="24"/>
          <w:lang w:val="en-US" w:eastAsia="zh-CN"/>
        </w:rPr>
      </w:pPr>
      <w:r>
        <w:rPr>
          <w:rFonts w:hint="eastAsia" w:ascii="宋体" w:hAnsi="宋体"/>
          <w:b/>
          <w:bCs/>
          <w:sz w:val="24"/>
          <w:lang w:val="en-US" w:eastAsia="zh-CN"/>
        </w:rPr>
        <w:t>口腔综合治疗台水路消毒系统 1套</w:t>
      </w:r>
    </w:p>
    <w:p w14:paraId="6112DE56">
      <w:pPr>
        <w:snapToGrid w:val="0"/>
        <w:spacing w:line="440" w:lineRule="atLeast"/>
        <w:ind w:firstLine="480"/>
        <w:rPr>
          <w:rFonts w:hint="eastAsia" w:ascii="宋体" w:hAnsi="宋体"/>
          <w:sz w:val="24"/>
        </w:rPr>
      </w:pPr>
      <w:r>
        <w:rPr>
          <w:rFonts w:hint="eastAsia" w:ascii="宋体" w:hAnsi="宋体"/>
          <w:sz w:val="24"/>
          <w:lang w:val="en-US" w:eastAsia="zh-CN"/>
        </w:rPr>
        <w:t>1、</w:t>
      </w:r>
      <w:r>
        <w:rPr>
          <w:rFonts w:hint="eastAsia" w:ascii="宋体" w:hAnsi="宋体"/>
          <w:sz w:val="24"/>
        </w:rPr>
        <w:t>一体化口腔水路消毒系统，设备由次氯酸发生器设备及储水箱，增压泵组成，可满足日常≥20台牙椅日常供水需求</w:t>
      </w:r>
      <w:r>
        <w:rPr>
          <w:rFonts w:hint="eastAsia" w:ascii="宋体" w:hAnsi="宋体"/>
          <w:sz w:val="24"/>
          <w:lang w:eastAsia="zh-CN"/>
        </w:rPr>
        <w:t>；</w:t>
      </w:r>
    </w:p>
    <w:p w14:paraId="1F6DD751">
      <w:pPr>
        <w:snapToGrid w:val="0"/>
        <w:spacing w:line="440" w:lineRule="atLeast"/>
        <w:ind w:firstLine="480"/>
        <w:rPr>
          <w:rFonts w:hint="eastAsia" w:ascii="宋体" w:hAnsi="宋体"/>
          <w:sz w:val="24"/>
          <w:lang w:eastAsia="zh-CN"/>
        </w:rPr>
      </w:pPr>
      <w:r>
        <w:rPr>
          <w:rFonts w:hint="eastAsia" w:ascii="宋体" w:hAnsi="宋体"/>
          <w:sz w:val="24"/>
          <w:lang w:val="en-US" w:eastAsia="zh-CN"/>
        </w:rPr>
        <w:t>2、</w:t>
      </w:r>
      <w:r>
        <w:rPr>
          <w:rFonts w:hint="eastAsia" w:ascii="宋体" w:hAnsi="宋体"/>
          <w:sz w:val="24"/>
        </w:rPr>
        <w:t>次氯酸水发生器具有消毒产品生产企业卫生许可证，设备备案资料须在国家卫健委网上公示，提供设全套消毒产品卫生安全评价报告。并提供杀灭微生物效果和安全性要求相关证明报告</w:t>
      </w:r>
      <w:r>
        <w:rPr>
          <w:rFonts w:hint="eastAsia" w:ascii="宋体" w:hAnsi="宋体"/>
          <w:sz w:val="24"/>
          <w:lang w:eastAsia="zh-CN"/>
        </w:rPr>
        <w:t>；</w:t>
      </w:r>
    </w:p>
    <w:p w14:paraId="716B6486">
      <w:pPr>
        <w:snapToGrid w:val="0"/>
        <w:spacing w:line="440" w:lineRule="atLeast"/>
        <w:ind w:firstLine="480"/>
        <w:rPr>
          <w:rFonts w:hint="eastAsia" w:ascii="宋体" w:hAnsi="宋体"/>
          <w:sz w:val="24"/>
          <w:lang w:eastAsia="zh-CN"/>
        </w:rPr>
      </w:pPr>
      <w:r>
        <w:rPr>
          <w:rFonts w:hint="eastAsia" w:ascii="宋体" w:hAnsi="宋体"/>
          <w:sz w:val="24"/>
          <w:lang w:val="en-US" w:eastAsia="zh-CN"/>
        </w:rPr>
        <w:t>3、</w:t>
      </w:r>
      <w:r>
        <w:rPr>
          <w:rFonts w:hint="eastAsia" w:ascii="宋体" w:hAnsi="宋体"/>
          <w:sz w:val="24"/>
        </w:rPr>
        <w:t>采用无隔膜电解槽电解技术生成微酸性次氯酸口腔诊疗用水</w:t>
      </w:r>
      <w:r>
        <w:rPr>
          <w:rFonts w:hint="eastAsia" w:ascii="宋体" w:hAnsi="宋体"/>
          <w:sz w:val="24"/>
          <w:lang w:eastAsia="zh-CN"/>
        </w:rPr>
        <w:t>；</w:t>
      </w:r>
    </w:p>
    <w:p w14:paraId="5AB9DA2C">
      <w:pPr>
        <w:snapToGrid w:val="0"/>
        <w:spacing w:line="440" w:lineRule="atLeast"/>
        <w:ind w:firstLine="480"/>
        <w:rPr>
          <w:rFonts w:hint="eastAsia" w:ascii="宋体" w:hAnsi="宋体"/>
          <w:sz w:val="24"/>
          <w:lang w:eastAsia="zh-CN"/>
        </w:rPr>
      </w:pPr>
      <w:r>
        <w:rPr>
          <w:rFonts w:hint="eastAsia" w:ascii="宋体" w:hAnsi="宋体"/>
          <w:sz w:val="24"/>
        </w:rPr>
        <w:t>4、系统设备可满足次氯酸水和原水自动交替供水，无需人工监管，可实现远程监控，实时监测用水</w:t>
      </w:r>
      <w:r>
        <w:rPr>
          <w:rFonts w:hint="eastAsia" w:ascii="宋体" w:hAnsi="宋体"/>
          <w:sz w:val="24"/>
          <w:lang w:eastAsia="zh-CN"/>
        </w:rPr>
        <w:t>；</w:t>
      </w:r>
    </w:p>
    <w:p w14:paraId="1E09E24B">
      <w:pPr>
        <w:snapToGrid w:val="0"/>
        <w:spacing w:line="440" w:lineRule="atLeast"/>
        <w:ind w:firstLine="480"/>
        <w:rPr>
          <w:rFonts w:hint="eastAsia" w:ascii="宋体" w:hAnsi="宋体"/>
          <w:sz w:val="24"/>
          <w:lang w:eastAsia="zh-CN"/>
        </w:rPr>
      </w:pPr>
      <w:r>
        <w:rPr>
          <w:rFonts w:hint="eastAsia" w:ascii="宋体" w:hAnsi="宋体"/>
          <w:sz w:val="24"/>
        </w:rPr>
        <w:t>5.次氯酸水供水量≥2-5L/min</w:t>
      </w:r>
      <w:r>
        <w:rPr>
          <w:rFonts w:hint="eastAsia" w:ascii="宋体" w:hAnsi="宋体"/>
          <w:sz w:val="24"/>
          <w:lang w:eastAsia="zh-CN"/>
        </w:rPr>
        <w:t>；</w:t>
      </w:r>
    </w:p>
    <w:p w14:paraId="23754B44">
      <w:pPr>
        <w:snapToGrid w:val="0"/>
        <w:spacing w:line="440" w:lineRule="atLeast"/>
        <w:ind w:firstLine="480"/>
        <w:rPr>
          <w:rFonts w:hint="eastAsia" w:ascii="宋体" w:hAnsi="宋体"/>
          <w:sz w:val="24"/>
          <w:lang w:eastAsia="zh-CN"/>
        </w:rPr>
      </w:pPr>
      <w:r>
        <w:rPr>
          <w:rFonts w:hint="eastAsia" w:ascii="宋体" w:hAnsi="宋体"/>
          <w:sz w:val="24"/>
          <w:lang w:val="en-US" w:eastAsia="zh-CN"/>
        </w:rPr>
        <w:t>6、</w:t>
      </w:r>
      <w:r>
        <w:rPr>
          <w:rFonts w:hint="eastAsia" w:ascii="宋体" w:hAnsi="宋体"/>
          <w:sz w:val="24"/>
        </w:rPr>
        <w:t>生成次氯酸水PH值</w:t>
      </w:r>
      <w:r>
        <w:rPr>
          <w:rFonts w:hint="eastAsia" w:ascii="宋体" w:hAnsi="宋体"/>
          <w:sz w:val="24"/>
          <w:lang w:val="en-US" w:eastAsia="zh-CN"/>
        </w:rPr>
        <w:t>包括但不限于</w:t>
      </w:r>
      <w:r>
        <w:rPr>
          <w:rFonts w:hint="eastAsia" w:ascii="宋体" w:hAnsi="宋体"/>
          <w:sz w:val="24"/>
        </w:rPr>
        <w:t>范围：5-</w:t>
      </w:r>
      <w:r>
        <w:rPr>
          <w:rFonts w:hint="eastAsia" w:ascii="宋体" w:hAnsi="宋体"/>
          <w:sz w:val="24"/>
          <w:lang w:val="en-US" w:eastAsia="zh-CN"/>
        </w:rPr>
        <w:t>6.5</w:t>
      </w:r>
      <w:r>
        <w:rPr>
          <w:rFonts w:hint="eastAsia" w:ascii="宋体" w:hAnsi="宋体"/>
          <w:sz w:val="24"/>
          <w:lang w:eastAsia="zh-CN"/>
        </w:rPr>
        <w:t>；</w:t>
      </w:r>
    </w:p>
    <w:p w14:paraId="1336CEC7">
      <w:pPr>
        <w:snapToGrid w:val="0"/>
        <w:spacing w:line="440" w:lineRule="atLeast"/>
        <w:ind w:firstLine="480"/>
        <w:rPr>
          <w:rFonts w:hint="eastAsia" w:ascii="宋体" w:hAnsi="宋体"/>
          <w:sz w:val="24"/>
        </w:rPr>
      </w:pPr>
      <w:r>
        <w:rPr>
          <w:rFonts w:hint="eastAsia" w:ascii="宋体" w:hAnsi="宋体"/>
          <w:sz w:val="24"/>
          <w:lang w:val="en-US" w:eastAsia="zh-CN"/>
        </w:rPr>
        <w:t>7、</w:t>
      </w:r>
      <w:r>
        <w:rPr>
          <w:rFonts w:hint="eastAsia" w:ascii="宋体" w:hAnsi="宋体"/>
          <w:sz w:val="24"/>
        </w:rPr>
        <w:t>生成次氯酸水有效氯浓度（mg/L）:包括但不限于</w:t>
      </w:r>
      <w:r>
        <w:rPr>
          <w:rFonts w:hint="eastAsia" w:ascii="宋体" w:hAnsi="宋体"/>
          <w:sz w:val="24"/>
          <w:lang w:val="en-US" w:eastAsia="zh-CN"/>
        </w:rPr>
        <w:t>40</w:t>
      </w:r>
      <w:r>
        <w:rPr>
          <w:rFonts w:hint="eastAsia" w:ascii="宋体" w:hAnsi="宋体"/>
          <w:sz w:val="24"/>
        </w:rPr>
        <w:t>-160mg/L可调。</w:t>
      </w:r>
    </w:p>
    <w:p w14:paraId="30025890">
      <w:pPr>
        <w:snapToGrid w:val="0"/>
        <w:spacing w:line="440" w:lineRule="atLeast"/>
        <w:ind w:firstLine="480"/>
        <w:rPr>
          <w:rFonts w:hint="eastAsia" w:ascii="宋体" w:hAnsi="宋体"/>
          <w:sz w:val="24"/>
          <w:lang w:eastAsia="zh-CN"/>
        </w:rPr>
      </w:pPr>
      <w:r>
        <w:rPr>
          <w:rFonts w:hint="eastAsia" w:ascii="宋体" w:hAnsi="宋体"/>
          <w:sz w:val="24"/>
          <w:lang w:val="en-US" w:eastAsia="zh-CN"/>
        </w:rPr>
        <w:t>8</w:t>
      </w:r>
      <w:r>
        <w:rPr>
          <w:rFonts w:hint="eastAsia" w:ascii="宋体" w:hAnsi="宋体"/>
          <w:sz w:val="24"/>
        </w:rPr>
        <w:t>、触摸屏微电脑控制，生成次氯酸水可选择≥</w:t>
      </w:r>
      <w:r>
        <w:rPr>
          <w:rFonts w:hint="eastAsia" w:ascii="宋体" w:hAnsi="宋体"/>
          <w:sz w:val="24"/>
          <w:lang w:val="en-US" w:eastAsia="zh-CN"/>
        </w:rPr>
        <w:t>2</w:t>
      </w:r>
      <w:r>
        <w:rPr>
          <w:rFonts w:hint="eastAsia" w:ascii="宋体" w:hAnsi="宋体"/>
          <w:sz w:val="24"/>
        </w:rPr>
        <w:t>种不同浓度</w:t>
      </w:r>
      <w:r>
        <w:rPr>
          <w:rFonts w:hint="eastAsia" w:ascii="宋体" w:hAnsi="宋体"/>
          <w:sz w:val="24"/>
          <w:lang w:eastAsia="zh-CN"/>
        </w:rPr>
        <w:t>，</w:t>
      </w:r>
      <w:r>
        <w:rPr>
          <w:rFonts w:hint="eastAsia" w:ascii="宋体" w:hAnsi="宋体"/>
          <w:sz w:val="24"/>
          <w:lang w:val="en-US" w:eastAsia="zh-CN"/>
        </w:rPr>
        <w:t>流量范围可一键自动切换，无需人工调节</w:t>
      </w:r>
      <w:r>
        <w:rPr>
          <w:rFonts w:hint="eastAsia" w:ascii="宋体" w:hAnsi="宋体"/>
          <w:sz w:val="24"/>
          <w:lang w:eastAsia="zh-CN"/>
        </w:rPr>
        <w:t>；</w:t>
      </w:r>
    </w:p>
    <w:p w14:paraId="0F49623D">
      <w:pPr>
        <w:snapToGrid w:val="0"/>
        <w:spacing w:line="440" w:lineRule="atLeast"/>
        <w:ind w:firstLine="480"/>
        <w:rPr>
          <w:rFonts w:hint="eastAsia" w:ascii="宋体" w:hAnsi="宋体"/>
          <w:sz w:val="24"/>
          <w:lang w:eastAsia="zh-CN"/>
        </w:rPr>
      </w:pPr>
      <w:r>
        <w:rPr>
          <w:rFonts w:hint="eastAsia" w:ascii="宋体" w:hAnsi="宋体"/>
          <w:sz w:val="24"/>
          <w:lang w:val="en-US" w:eastAsia="zh-CN"/>
        </w:rPr>
        <w:t>9</w:t>
      </w:r>
      <w:r>
        <w:rPr>
          <w:rFonts w:hint="eastAsia" w:ascii="宋体" w:hAnsi="宋体"/>
          <w:sz w:val="24"/>
        </w:rPr>
        <w:t>、触摸屏实时在线显示pH值、ORP值、有效氯含量、电解电流、累计运行时间等参数，随时监测消毒液的技术指标，消毒液不合格自动报警。显示电解液不足预警和缺失停机保护，同时伴有声音提示，以保证设备的正常运行和消毒液的合格</w:t>
      </w:r>
      <w:r>
        <w:rPr>
          <w:rFonts w:hint="eastAsia" w:ascii="宋体" w:hAnsi="宋体"/>
          <w:sz w:val="24"/>
          <w:lang w:eastAsia="zh-CN"/>
        </w:rPr>
        <w:t>；</w:t>
      </w:r>
    </w:p>
    <w:p w14:paraId="764EF946">
      <w:pPr>
        <w:snapToGrid w:val="0"/>
        <w:spacing w:line="440" w:lineRule="atLeast"/>
        <w:ind w:firstLine="480"/>
        <w:rPr>
          <w:rFonts w:hint="eastAsia" w:ascii="宋体" w:hAnsi="宋体"/>
          <w:sz w:val="24"/>
          <w:lang w:val="en-US" w:eastAsia="zh-CN"/>
        </w:rPr>
      </w:pPr>
      <w:r>
        <w:rPr>
          <w:rFonts w:hint="eastAsia" w:ascii="宋体" w:hAnsi="宋体"/>
          <w:sz w:val="24"/>
          <w:lang w:val="en-US" w:eastAsia="zh-CN"/>
        </w:rPr>
        <w:t>10</w:t>
      </w:r>
      <w:r>
        <w:rPr>
          <w:rFonts w:hint="eastAsia" w:ascii="宋体" w:hAnsi="宋体"/>
          <w:sz w:val="24"/>
        </w:rPr>
        <w:t>、具有具有高低水位，缺水、溢水等安全保护</w:t>
      </w:r>
      <w:r>
        <w:rPr>
          <w:rFonts w:hint="eastAsia" w:ascii="宋体" w:hAnsi="宋体"/>
          <w:sz w:val="24"/>
          <w:lang w:val="en-US" w:eastAsia="zh-CN"/>
        </w:rPr>
        <w:t>功能；</w:t>
      </w:r>
    </w:p>
    <w:p w14:paraId="27BA7DC4">
      <w:pPr>
        <w:snapToGrid w:val="0"/>
        <w:spacing w:line="440" w:lineRule="atLeast"/>
        <w:ind w:firstLine="480"/>
        <w:rPr>
          <w:rFonts w:hint="eastAsia" w:ascii="宋体" w:hAnsi="宋体"/>
          <w:sz w:val="24"/>
          <w:lang w:eastAsia="zh-CN"/>
        </w:rPr>
      </w:pPr>
      <w:r>
        <w:rPr>
          <w:rFonts w:hint="eastAsia" w:ascii="宋体" w:hAnsi="宋体"/>
          <w:sz w:val="24"/>
          <w:lang w:val="en-US" w:eastAsia="zh-CN"/>
        </w:rPr>
        <w:t>11</w:t>
      </w:r>
      <w:r>
        <w:rPr>
          <w:rFonts w:hint="eastAsia" w:ascii="宋体" w:hAnsi="宋体"/>
          <w:sz w:val="24"/>
        </w:rPr>
        <w:t>、具有打印功能，可打印出微酸水PH、ORP、有效氯及日期、时间等参数</w:t>
      </w:r>
      <w:r>
        <w:rPr>
          <w:rFonts w:hint="eastAsia" w:ascii="宋体" w:hAnsi="宋体"/>
          <w:sz w:val="24"/>
          <w:lang w:eastAsia="zh-CN"/>
        </w:rPr>
        <w:t>；</w:t>
      </w:r>
    </w:p>
    <w:p w14:paraId="37ED71A2">
      <w:pPr>
        <w:snapToGrid w:val="0"/>
        <w:spacing w:line="440" w:lineRule="atLeast"/>
        <w:ind w:firstLine="480"/>
        <w:rPr>
          <w:rFonts w:hint="eastAsia" w:ascii="宋体" w:hAnsi="宋体"/>
          <w:sz w:val="24"/>
        </w:rPr>
      </w:pPr>
      <w:r>
        <w:rPr>
          <w:rFonts w:hint="eastAsia" w:ascii="宋体" w:hAnsi="宋体"/>
          <w:sz w:val="24"/>
          <w:lang w:val="en-US" w:eastAsia="zh-CN"/>
        </w:rPr>
        <w:t>12</w:t>
      </w:r>
      <w:r>
        <w:rPr>
          <w:rFonts w:hint="eastAsia" w:ascii="宋体" w:hAnsi="宋体"/>
          <w:sz w:val="24"/>
        </w:rPr>
        <w:t>、桶装可更换电解液，不需要人工配比及搅拌</w:t>
      </w:r>
      <w:r>
        <w:rPr>
          <w:rFonts w:hint="eastAsia" w:ascii="宋体" w:hAnsi="宋体"/>
          <w:sz w:val="24"/>
          <w:lang w:eastAsia="zh-CN"/>
        </w:rPr>
        <w:t>；</w:t>
      </w:r>
    </w:p>
    <w:p w14:paraId="51A71122">
      <w:pPr>
        <w:snapToGrid w:val="0"/>
        <w:spacing w:line="440" w:lineRule="atLeast"/>
        <w:ind w:firstLine="480"/>
        <w:rPr>
          <w:rFonts w:hint="eastAsia" w:ascii="宋体" w:hAnsi="宋体"/>
          <w:sz w:val="24"/>
          <w:lang w:eastAsia="zh-CN"/>
        </w:rPr>
      </w:pPr>
      <w:r>
        <w:rPr>
          <w:rFonts w:hint="eastAsia" w:ascii="宋体" w:hAnsi="宋体"/>
          <w:sz w:val="24"/>
        </w:rPr>
        <w:t>1</w:t>
      </w:r>
      <w:r>
        <w:rPr>
          <w:rFonts w:hint="eastAsia" w:ascii="宋体" w:hAnsi="宋体"/>
          <w:sz w:val="24"/>
          <w:lang w:val="en-US" w:eastAsia="zh-CN"/>
        </w:rPr>
        <w:t>3</w:t>
      </w:r>
      <w:r>
        <w:rPr>
          <w:rFonts w:hint="eastAsia" w:ascii="宋体" w:hAnsi="宋体"/>
          <w:sz w:val="24"/>
        </w:rPr>
        <w:t>、电解槽有效寿命≥3000小时</w:t>
      </w:r>
      <w:r>
        <w:rPr>
          <w:rFonts w:hint="eastAsia" w:ascii="宋体" w:hAnsi="宋体"/>
          <w:sz w:val="24"/>
          <w:lang w:eastAsia="zh-CN"/>
        </w:rPr>
        <w:t>；</w:t>
      </w:r>
    </w:p>
    <w:p w14:paraId="7CA324E2">
      <w:pPr>
        <w:snapToGrid w:val="0"/>
        <w:spacing w:line="440" w:lineRule="atLeast"/>
        <w:ind w:firstLine="480"/>
        <w:rPr>
          <w:rFonts w:hint="eastAsia" w:ascii="宋体" w:hAnsi="宋体"/>
          <w:sz w:val="24"/>
        </w:rPr>
      </w:pPr>
      <w:r>
        <w:rPr>
          <w:rFonts w:hint="eastAsia" w:ascii="宋体" w:hAnsi="宋体"/>
          <w:sz w:val="24"/>
          <w:lang w:val="en-US" w:eastAsia="zh-CN"/>
        </w:rPr>
        <w:t>14</w:t>
      </w:r>
      <w:r>
        <w:rPr>
          <w:rFonts w:hint="eastAsia" w:ascii="宋体" w:hAnsi="宋体"/>
          <w:sz w:val="24"/>
        </w:rPr>
        <w:t>、具有定期自动清洗管道功能，防止长时间运行堵塞管道，保持管路清洁，同时保证电解槽、电磁阀等配件的使用寿命及消毒液出水指标稳定性。</w:t>
      </w:r>
    </w:p>
    <w:p w14:paraId="35F618D7">
      <w:pPr>
        <w:snapToGrid w:val="0"/>
        <w:spacing w:line="440" w:lineRule="atLeast"/>
        <w:ind w:firstLine="480"/>
        <w:rPr>
          <w:rFonts w:hint="eastAsia" w:ascii="宋体" w:hAnsi="宋体"/>
          <w:sz w:val="24"/>
          <w:lang w:eastAsia="zh-CN"/>
        </w:rPr>
      </w:pPr>
      <w:bookmarkStart w:id="0" w:name="_GoBack"/>
      <w:bookmarkEnd w:id="0"/>
      <w:r>
        <w:rPr>
          <w:rFonts w:hint="eastAsia" w:ascii="宋体" w:hAnsi="宋体"/>
          <w:sz w:val="24"/>
        </w:rPr>
        <w:t>1</w:t>
      </w:r>
      <w:r>
        <w:rPr>
          <w:rFonts w:hint="eastAsia" w:ascii="宋体" w:hAnsi="宋体"/>
          <w:sz w:val="24"/>
          <w:lang w:val="en-US" w:eastAsia="zh-CN"/>
        </w:rPr>
        <w:t>5</w:t>
      </w:r>
      <w:r>
        <w:rPr>
          <w:rFonts w:hint="eastAsia" w:ascii="宋体" w:hAnsi="宋体"/>
          <w:sz w:val="24"/>
        </w:rPr>
        <w:t>、内置储水箱≥20L，可实现密封、避光，储水箱留有溢水口及溢水管路。设备外部可根据需求选配合适的大容量储水箱，以满足正常工作用水量需求</w:t>
      </w:r>
      <w:r>
        <w:rPr>
          <w:rFonts w:hint="eastAsia" w:ascii="宋体" w:hAnsi="宋体"/>
          <w:sz w:val="24"/>
          <w:lang w:eastAsia="zh-CN"/>
        </w:rPr>
        <w:t>。</w:t>
      </w:r>
    </w:p>
    <w:p w14:paraId="1B0D15EB">
      <w:pPr>
        <w:snapToGrid w:val="0"/>
        <w:spacing w:line="440" w:lineRule="atLeast"/>
        <w:ind w:firstLine="480"/>
        <w:rPr>
          <w:rFonts w:hint="eastAsia" w:ascii="宋体" w:hAnsi="宋体"/>
          <w:sz w:val="24"/>
          <w:lang w:val="en-US" w:eastAsia="zh-CN"/>
        </w:rPr>
      </w:pPr>
      <w:r>
        <w:rPr>
          <w:rFonts w:hint="eastAsia" w:ascii="宋体" w:hAnsi="宋体"/>
          <w:sz w:val="24"/>
          <w:lang w:val="en-US" w:eastAsia="zh-CN"/>
        </w:rPr>
        <w:t>16、设备铭牌上的使用年限≥8年。</w:t>
      </w:r>
    </w:p>
    <w:p w14:paraId="2BDEF876">
      <w:pPr>
        <w:pStyle w:val="2"/>
        <w:ind w:left="0" w:leftChars="0" w:firstLine="0" w:firstLineChars="0"/>
        <w:rPr>
          <w:rFonts w:hint="eastAsia"/>
          <w:color w:val="auto"/>
        </w:rPr>
      </w:pPr>
    </w:p>
    <w:p w14:paraId="58B44658">
      <w:pPr>
        <w:spacing w:line="360" w:lineRule="auto"/>
        <w:rPr>
          <w:rFonts w:hint="eastAsia"/>
          <w:sz w:val="24"/>
          <w:szCs w:val="24"/>
        </w:rPr>
      </w:pPr>
    </w:p>
    <w:p w14:paraId="1A7FE909">
      <w:pPr>
        <w:rPr>
          <w:sz w:val="24"/>
          <w:szCs w:val="24"/>
        </w:rPr>
      </w:pPr>
      <w:r>
        <w:rPr>
          <w:rFonts w:hint="eastAsia"/>
          <w:sz w:val="24"/>
          <w:szCs w:val="24"/>
        </w:rPr>
        <w:t>三、交货方式</w:t>
      </w:r>
    </w:p>
    <w:p w14:paraId="7DDE9FC8">
      <w:pPr>
        <w:rPr>
          <w:sz w:val="24"/>
          <w:szCs w:val="24"/>
        </w:rPr>
      </w:pPr>
      <w:r>
        <w:rPr>
          <w:sz w:val="24"/>
          <w:szCs w:val="24"/>
        </w:rPr>
        <w:t>1</w:t>
      </w:r>
      <w:r>
        <w:rPr>
          <w:rFonts w:hint="eastAsia"/>
          <w:sz w:val="24"/>
          <w:szCs w:val="24"/>
        </w:rPr>
        <w:t>、交货时间：合同签订后</w:t>
      </w:r>
      <w:r>
        <w:rPr>
          <w:rFonts w:hint="eastAsia"/>
          <w:sz w:val="24"/>
          <w:szCs w:val="24"/>
          <w:lang w:val="en-US" w:eastAsia="zh-CN"/>
        </w:rPr>
        <w:t>90</w:t>
      </w:r>
      <w:r>
        <w:rPr>
          <w:rFonts w:hint="eastAsia"/>
          <w:sz w:val="24"/>
          <w:szCs w:val="24"/>
        </w:rPr>
        <w:t>日内安装调试完毕且验收合格交付使用。</w:t>
      </w:r>
    </w:p>
    <w:p w14:paraId="5C324B13">
      <w:pPr>
        <w:rPr>
          <w:sz w:val="24"/>
          <w:szCs w:val="24"/>
        </w:rPr>
      </w:pPr>
      <w:r>
        <w:rPr>
          <w:sz w:val="24"/>
          <w:szCs w:val="24"/>
        </w:rPr>
        <w:t>2</w:t>
      </w:r>
      <w:r>
        <w:rPr>
          <w:rFonts w:hint="eastAsia"/>
          <w:sz w:val="24"/>
          <w:szCs w:val="24"/>
        </w:rPr>
        <w:t>、交货地点：三明市第一医院</w:t>
      </w:r>
      <w:r>
        <w:rPr>
          <w:rFonts w:hint="eastAsia"/>
          <w:sz w:val="24"/>
          <w:szCs w:val="24"/>
          <w:lang w:eastAsia="zh-CN"/>
        </w:rPr>
        <w:t>生态新城</w:t>
      </w:r>
      <w:r>
        <w:rPr>
          <w:rFonts w:hint="eastAsia"/>
          <w:sz w:val="24"/>
          <w:szCs w:val="24"/>
        </w:rPr>
        <w:t>使用科室。</w:t>
      </w:r>
    </w:p>
    <w:p w14:paraId="6C7718E7">
      <w:pPr>
        <w:rPr>
          <w:sz w:val="24"/>
          <w:szCs w:val="24"/>
        </w:rPr>
      </w:pPr>
      <w:r>
        <w:rPr>
          <w:sz w:val="24"/>
          <w:szCs w:val="24"/>
        </w:rPr>
        <w:t>3</w:t>
      </w:r>
      <w:r>
        <w:rPr>
          <w:rFonts w:hint="eastAsia"/>
          <w:sz w:val="24"/>
          <w:szCs w:val="24"/>
        </w:rPr>
        <w:t>、现场交货：设备到达采购方现场后，由采购方会同有关部门进行基本数量和质量的检验，合格即为现场交货。</w:t>
      </w:r>
    </w:p>
    <w:p w14:paraId="6F059601">
      <w:pPr>
        <w:rPr>
          <w:sz w:val="24"/>
          <w:szCs w:val="24"/>
        </w:rPr>
      </w:pPr>
      <w:r>
        <w:rPr>
          <w:sz w:val="24"/>
          <w:szCs w:val="24"/>
        </w:rPr>
        <w:t>4</w:t>
      </w:r>
      <w:r>
        <w:rPr>
          <w:rFonts w:hint="eastAsia"/>
          <w:sz w:val="24"/>
          <w:szCs w:val="24"/>
        </w:rPr>
        <w:t>、最终验收前所有各项费用均由中标方承担。</w:t>
      </w:r>
    </w:p>
    <w:p w14:paraId="63F786D4">
      <w:pPr>
        <w:rPr>
          <w:sz w:val="24"/>
          <w:szCs w:val="24"/>
        </w:rPr>
      </w:pPr>
    </w:p>
    <w:p w14:paraId="2EDAA00F">
      <w:pPr>
        <w:rPr>
          <w:sz w:val="24"/>
          <w:szCs w:val="24"/>
        </w:rPr>
      </w:pPr>
      <w:r>
        <w:rPr>
          <w:rFonts w:hint="eastAsia"/>
          <w:sz w:val="24"/>
          <w:szCs w:val="24"/>
        </w:rPr>
        <w:t>四、安装调试</w:t>
      </w:r>
    </w:p>
    <w:p w14:paraId="5E63C195">
      <w:pPr>
        <w:rPr>
          <w:sz w:val="24"/>
          <w:szCs w:val="24"/>
        </w:rPr>
      </w:pPr>
      <w:r>
        <w:rPr>
          <w:rFonts w:hint="eastAsia"/>
          <w:sz w:val="24"/>
          <w:szCs w:val="24"/>
        </w:rPr>
        <w:t>设备现场交货后，由中标方负责设备安装调试及技术指导：</w:t>
      </w:r>
    </w:p>
    <w:p w14:paraId="0AAB89DB">
      <w:pPr>
        <w:rPr>
          <w:sz w:val="24"/>
          <w:szCs w:val="24"/>
        </w:rPr>
      </w:pPr>
      <w:r>
        <w:rPr>
          <w:sz w:val="24"/>
          <w:szCs w:val="24"/>
        </w:rPr>
        <w:t>1</w:t>
      </w:r>
      <w:r>
        <w:rPr>
          <w:rFonts w:hint="eastAsia"/>
          <w:sz w:val="24"/>
          <w:szCs w:val="24"/>
        </w:rPr>
        <w:t>、由中标方负责派出技术人员到达现场进行安装、调试，并负责调试至验收合格，期间产生的所有费用由中标方承担。</w:t>
      </w:r>
    </w:p>
    <w:p w14:paraId="37689D3A">
      <w:pPr>
        <w:rPr>
          <w:sz w:val="24"/>
          <w:szCs w:val="24"/>
        </w:rPr>
      </w:pPr>
      <w:r>
        <w:rPr>
          <w:sz w:val="24"/>
          <w:szCs w:val="24"/>
        </w:rPr>
        <w:t>2</w:t>
      </w:r>
      <w:r>
        <w:rPr>
          <w:rFonts w:hint="eastAsia"/>
          <w:sz w:val="24"/>
          <w:szCs w:val="24"/>
        </w:rPr>
        <w:t>、中标方应在设备运抵现场一周前，向采购方提供安装、调试及试运行的进度计划表，并提供详细的场地布置规划方案。</w:t>
      </w:r>
    </w:p>
    <w:p w14:paraId="46C50936">
      <w:pPr>
        <w:rPr>
          <w:sz w:val="24"/>
          <w:szCs w:val="24"/>
        </w:rPr>
      </w:pPr>
      <w:r>
        <w:rPr>
          <w:sz w:val="24"/>
          <w:szCs w:val="24"/>
        </w:rPr>
        <w:t>3</w:t>
      </w:r>
      <w:r>
        <w:rPr>
          <w:rFonts w:hint="eastAsia"/>
          <w:sz w:val="24"/>
          <w:szCs w:val="24"/>
        </w:rPr>
        <w:t>、中标方应在接到采购方通知的</w:t>
      </w:r>
      <w:r>
        <w:rPr>
          <w:sz w:val="24"/>
          <w:szCs w:val="24"/>
        </w:rPr>
        <w:t>2</w:t>
      </w:r>
      <w:r>
        <w:rPr>
          <w:rFonts w:hint="eastAsia"/>
          <w:sz w:val="24"/>
          <w:szCs w:val="24"/>
        </w:rPr>
        <w:t>日内派技术人员到现场进行安装，</w:t>
      </w:r>
      <w:r>
        <w:rPr>
          <w:sz w:val="24"/>
          <w:szCs w:val="24"/>
        </w:rPr>
        <w:t>3</w:t>
      </w:r>
      <w:r>
        <w:rPr>
          <w:rFonts w:hint="eastAsia"/>
          <w:sz w:val="24"/>
          <w:szCs w:val="24"/>
        </w:rPr>
        <w:t>日内负责完成安装调试并经用户组织的专家小组验收合格，相关费用由中标方自理。</w:t>
      </w:r>
    </w:p>
    <w:p w14:paraId="693A9459">
      <w:pPr>
        <w:rPr>
          <w:sz w:val="24"/>
          <w:szCs w:val="24"/>
        </w:rPr>
      </w:pPr>
      <w:r>
        <w:rPr>
          <w:sz w:val="24"/>
          <w:szCs w:val="24"/>
        </w:rPr>
        <w:t>4</w:t>
      </w:r>
      <w:r>
        <w:rPr>
          <w:rFonts w:hint="eastAsia"/>
          <w:sz w:val="24"/>
          <w:szCs w:val="24"/>
        </w:rPr>
        <w:t>、免送货上门费，免咨询及技术培训费。</w:t>
      </w:r>
    </w:p>
    <w:p w14:paraId="339C84FC">
      <w:pPr>
        <w:rPr>
          <w:sz w:val="24"/>
          <w:szCs w:val="24"/>
        </w:rPr>
      </w:pPr>
    </w:p>
    <w:p w14:paraId="3BB6D423">
      <w:pPr>
        <w:rPr>
          <w:sz w:val="24"/>
          <w:szCs w:val="24"/>
        </w:rPr>
      </w:pPr>
      <w:r>
        <w:rPr>
          <w:rFonts w:hint="eastAsia"/>
          <w:sz w:val="24"/>
          <w:szCs w:val="24"/>
        </w:rPr>
        <w:t>五、验收</w:t>
      </w:r>
    </w:p>
    <w:p w14:paraId="28F62514">
      <w:pPr>
        <w:rPr>
          <w:rFonts w:hint="default" w:eastAsia="宋体"/>
          <w:lang w:val="en-US" w:eastAsia="zh-CN"/>
        </w:rPr>
      </w:pPr>
      <w:r>
        <w:rPr>
          <w:rFonts w:hint="eastAsia"/>
          <w:sz w:val="24"/>
          <w:szCs w:val="24"/>
        </w:rPr>
        <w:t>设备按国家行业标准验收，由中标方和采购方共同完成。中标方在验收前必须向采购方提供产品合格证、产品验收证</w:t>
      </w:r>
      <w:r>
        <w:rPr>
          <w:sz w:val="24"/>
          <w:szCs w:val="24"/>
        </w:rPr>
        <w:t>/</w:t>
      </w:r>
      <w:r>
        <w:rPr>
          <w:rFonts w:hint="eastAsia"/>
          <w:sz w:val="24"/>
          <w:szCs w:val="24"/>
        </w:rPr>
        <w:t>单、保修卡、设备安装报告等资料，进口产品需提供进口报关单及中华人民共和国出入境检验检疫机构出具的检验合格证书。</w:t>
      </w:r>
      <w:r>
        <w:rPr>
          <w:rFonts w:hint="eastAsia"/>
          <w:color w:val="FF0000"/>
          <w:sz w:val="24"/>
          <w:szCs w:val="24"/>
          <w:lang w:eastAsia="zh-CN"/>
        </w:rPr>
        <w:t>产品生产日期在验收时不得超</w:t>
      </w:r>
      <w:r>
        <w:rPr>
          <w:rFonts w:hint="eastAsia"/>
          <w:color w:val="FF0000"/>
          <w:sz w:val="24"/>
          <w:szCs w:val="24"/>
          <w:lang w:val="en-US" w:eastAsia="zh-CN"/>
        </w:rPr>
        <w:t>6个月。</w:t>
      </w:r>
    </w:p>
    <w:p w14:paraId="6D854672">
      <w:pPr>
        <w:rPr>
          <w:sz w:val="24"/>
          <w:szCs w:val="24"/>
        </w:rPr>
      </w:pPr>
      <w:r>
        <w:rPr>
          <w:rFonts w:hint="eastAsia"/>
          <w:sz w:val="24"/>
          <w:szCs w:val="24"/>
        </w:rPr>
        <w:t>（一）验收规则</w:t>
      </w:r>
    </w:p>
    <w:p w14:paraId="69FF45C0">
      <w:pPr>
        <w:rPr>
          <w:sz w:val="24"/>
          <w:szCs w:val="24"/>
        </w:rPr>
      </w:pPr>
      <w:r>
        <w:rPr>
          <w:sz w:val="24"/>
          <w:szCs w:val="24"/>
        </w:rPr>
        <w:t>1</w:t>
      </w:r>
      <w:r>
        <w:rPr>
          <w:rFonts w:hint="eastAsia"/>
          <w:sz w:val="24"/>
          <w:szCs w:val="24"/>
        </w:rPr>
        <w:t>、验收标准：所有设备均需按照国家规定标准、制造商产品验收标准、本采购文件及谈判文件相关内容进行验收。</w:t>
      </w:r>
    </w:p>
    <w:p w14:paraId="17A87CA7">
      <w:pPr>
        <w:rPr>
          <w:sz w:val="24"/>
          <w:szCs w:val="24"/>
        </w:rPr>
      </w:pPr>
      <w:r>
        <w:rPr>
          <w:sz w:val="24"/>
          <w:szCs w:val="24"/>
        </w:rPr>
        <w:t>2</w:t>
      </w:r>
      <w:r>
        <w:rPr>
          <w:rFonts w:hint="eastAsia"/>
          <w:sz w:val="24"/>
          <w:szCs w:val="24"/>
        </w:rPr>
        <w:t>、验收程序：设备验收分中标方出厂检验、安装调试检验及最终验收三个阶段。</w:t>
      </w:r>
    </w:p>
    <w:p w14:paraId="6F116E68">
      <w:pPr>
        <w:rPr>
          <w:sz w:val="24"/>
          <w:szCs w:val="24"/>
        </w:rPr>
      </w:pPr>
      <w:r>
        <w:rPr>
          <w:rFonts w:hint="eastAsia"/>
          <w:sz w:val="24"/>
          <w:szCs w:val="24"/>
        </w:rPr>
        <w:t>（</w:t>
      </w:r>
      <w:r>
        <w:rPr>
          <w:sz w:val="24"/>
          <w:szCs w:val="24"/>
        </w:rPr>
        <w:t>1</w:t>
      </w:r>
      <w:r>
        <w:rPr>
          <w:rFonts w:hint="eastAsia"/>
          <w:sz w:val="24"/>
          <w:szCs w:val="24"/>
        </w:rPr>
        <w:t>）出厂检验：中标方在设备出厂前，应按产品技术标准规定的检验项目和试验方法进行全面检验。中标方应随同设备出具原产地证书、出厂检验报告及产品质量合格证等，结果必须符合前款验收标准的要求。</w:t>
      </w:r>
    </w:p>
    <w:p w14:paraId="781DEF09">
      <w:pPr>
        <w:rPr>
          <w:sz w:val="24"/>
          <w:szCs w:val="24"/>
        </w:rPr>
      </w:pPr>
      <w:r>
        <w:rPr>
          <w:rFonts w:hint="eastAsia"/>
          <w:sz w:val="24"/>
          <w:szCs w:val="24"/>
        </w:rPr>
        <w:t>（</w:t>
      </w:r>
      <w:r>
        <w:rPr>
          <w:sz w:val="24"/>
          <w:szCs w:val="24"/>
        </w:rPr>
        <w:t>2</w:t>
      </w:r>
      <w:r>
        <w:rPr>
          <w:rFonts w:hint="eastAsia"/>
          <w:sz w:val="24"/>
          <w:szCs w:val="24"/>
        </w:rPr>
        <w:t>）安装调试检验：</w:t>
      </w:r>
    </w:p>
    <w:p w14:paraId="235A8D53">
      <w:pPr>
        <w:rPr>
          <w:sz w:val="24"/>
          <w:szCs w:val="24"/>
        </w:rPr>
      </w:pPr>
      <w:r>
        <w:rPr>
          <w:rFonts w:hint="eastAsia"/>
          <w:sz w:val="24"/>
          <w:szCs w:val="24"/>
        </w:rPr>
        <w:t>（</w:t>
      </w:r>
      <w:r>
        <w:rPr>
          <w:sz w:val="24"/>
          <w:szCs w:val="24"/>
        </w:rPr>
        <w:t>a</w:t>
      </w:r>
      <w:r>
        <w:rPr>
          <w:rFonts w:hint="eastAsia"/>
          <w:sz w:val="24"/>
          <w:szCs w:val="24"/>
        </w:rPr>
        <w:t>）设备到达采购方现场后，由采购方会同有关部门进行基本数量和质量的检验（但不作为最终合格的认定），经检验的设备必须能完全达到合同规定的要求。</w:t>
      </w:r>
    </w:p>
    <w:p w14:paraId="425EF049">
      <w:pPr>
        <w:rPr>
          <w:sz w:val="24"/>
          <w:szCs w:val="24"/>
        </w:rPr>
      </w:pPr>
      <w:r>
        <w:rPr>
          <w:rFonts w:hint="eastAsia"/>
          <w:sz w:val="24"/>
          <w:szCs w:val="24"/>
        </w:rPr>
        <w:t>（</w:t>
      </w:r>
      <w:r>
        <w:rPr>
          <w:sz w:val="24"/>
          <w:szCs w:val="24"/>
        </w:rPr>
        <w:t>b</w:t>
      </w:r>
      <w:r>
        <w:rPr>
          <w:rFonts w:hint="eastAsia"/>
          <w:sz w:val="24"/>
          <w:szCs w:val="24"/>
        </w:rPr>
        <w:t>）设备安装调试（包括整机性能测试）过程，中标方应作详细的检验记录。安装调试检验结果应符合制造厂产品标准和采购文件规定的技术要求，检验记录应真实，其原件必须提供给采购方。</w:t>
      </w:r>
    </w:p>
    <w:p w14:paraId="25A6E5D0">
      <w:pPr>
        <w:rPr>
          <w:sz w:val="24"/>
          <w:szCs w:val="24"/>
        </w:rPr>
      </w:pPr>
      <w:r>
        <w:rPr>
          <w:rFonts w:hint="eastAsia"/>
          <w:sz w:val="24"/>
          <w:szCs w:val="24"/>
        </w:rPr>
        <w:t>（</w:t>
      </w:r>
      <w:r>
        <w:rPr>
          <w:sz w:val="24"/>
          <w:szCs w:val="24"/>
        </w:rPr>
        <w:t>c</w:t>
      </w:r>
      <w:r>
        <w:rPr>
          <w:rFonts w:hint="eastAsia"/>
          <w:sz w:val="24"/>
          <w:szCs w:val="24"/>
        </w:rPr>
        <w:t>）最终验收：设备经安装调试后，由中标方向采购方提出验收申请，由采购方组织最终验收：首先进行现场设备验收，现场设备验收按国家行业标准进行，经验收的所有设备安装调试后的各项技术参数、性能指标配置及其质量等均必须符合招标文件要求及投标文件承诺，并达到国家强制标准，其结果由双方确认。验收时，中标方所供到场设备与投标文件响应性不相符，采购方可要求退货，</w:t>
      </w:r>
    </w:p>
    <w:p w14:paraId="249FE0C7">
      <w:pPr>
        <w:rPr>
          <w:sz w:val="24"/>
          <w:szCs w:val="24"/>
        </w:rPr>
      </w:pPr>
      <w:r>
        <w:rPr>
          <w:rFonts w:hint="eastAsia"/>
          <w:sz w:val="24"/>
          <w:szCs w:val="24"/>
        </w:rPr>
        <w:t>（</w:t>
      </w:r>
      <w:r>
        <w:rPr>
          <w:sz w:val="24"/>
          <w:szCs w:val="24"/>
        </w:rPr>
        <w:t>3</w:t>
      </w:r>
      <w:r>
        <w:rPr>
          <w:rFonts w:hint="eastAsia"/>
          <w:sz w:val="24"/>
          <w:szCs w:val="24"/>
        </w:rPr>
        <w:t>）现场验收合格并经正常使用</w:t>
      </w:r>
      <w:r>
        <w:rPr>
          <w:sz w:val="24"/>
          <w:szCs w:val="24"/>
        </w:rPr>
        <w:t>30</w:t>
      </w:r>
      <w:r>
        <w:rPr>
          <w:rFonts w:hint="eastAsia"/>
          <w:sz w:val="24"/>
          <w:szCs w:val="24"/>
        </w:rPr>
        <w:t>日视为最终验收合格日，双方签署最终验收合格报告。验收报告一式</w:t>
      </w:r>
      <w:r>
        <w:rPr>
          <w:rFonts w:hint="eastAsia"/>
          <w:sz w:val="24"/>
          <w:szCs w:val="24"/>
          <w:lang w:val="en-US" w:eastAsia="zh-CN"/>
        </w:rPr>
        <w:t>贰</w:t>
      </w:r>
      <w:r>
        <w:rPr>
          <w:rFonts w:hint="eastAsia"/>
          <w:sz w:val="24"/>
          <w:szCs w:val="24"/>
        </w:rPr>
        <w:t>份，采购方及中标方各一份，送三明市财政局采购监督管理办公室及招标代理机构各一份（原件）。</w:t>
      </w:r>
    </w:p>
    <w:p w14:paraId="663A62C8">
      <w:pPr>
        <w:rPr>
          <w:sz w:val="24"/>
          <w:szCs w:val="24"/>
        </w:rPr>
      </w:pPr>
      <w:r>
        <w:rPr>
          <w:rFonts w:hint="eastAsia"/>
          <w:sz w:val="24"/>
          <w:szCs w:val="24"/>
        </w:rPr>
        <w:t>（二）验收费用：设备最终检验、验收过程的费用由中标方承担。</w:t>
      </w:r>
    </w:p>
    <w:p w14:paraId="2AAB8F11">
      <w:pPr>
        <w:rPr>
          <w:sz w:val="24"/>
          <w:szCs w:val="24"/>
        </w:rPr>
      </w:pPr>
    </w:p>
    <w:p w14:paraId="14AE8D5A">
      <w:pPr>
        <w:rPr>
          <w:sz w:val="24"/>
          <w:szCs w:val="24"/>
        </w:rPr>
      </w:pPr>
      <w:r>
        <w:rPr>
          <w:rFonts w:hint="eastAsia"/>
          <w:sz w:val="24"/>
          <w:szCs w:val="24"/>
        </w:rPr>
        <w:t>六、人员培训</w:t>
      </w:r>
    </w:p>
    <w:p w14:paraId="54507FD7">
      <w:pPr>
        <w:rPr>
          <w:sz w:val="24"/>
          <w:szCs w:val="24"/>
        </w:rPr>
      </w:pPr>
      <w:r>
        <w:rPr>
          <w:sz w:val="24"/>
          <w:szCs w:val="24"/>
        </w:rPr>
        <w:t>1</w:t>
      </w:r>
      <w:r>
        <w:rPr>
          <w:rFonts w:hint="eastAsia"/>
          <w:sz w:val="24"/>
          <w:szCs w:val="24"/>
        </w:rPr>
        <w:t>、现场技术培训：根据设备的特点及技术要求，中标方提供两期现场培训：第一期在试运行前一天，第二期在试运行结束当天。对采购方相关的医生、护士及技术管理人员进行使用操作、维修、保养、管理等技术培训，直至采购方的技术人员能完全独立操作；并提供成套培训资料。</w:t>
      </w:r>
    </w:p>
    <w:p w14:paraId="246C105D">
      <w:pPr>
        <w:rPr>
          <w:sz w:val="24"/>
          <w:szCs w:val="24"/>
        </w:rPr>
      </w:pPr>
      <w:r>
        <w:rPr>
          <w:sz w:val="24"/>
          <w:szCs w:val="24"/>
        </w:rPr>
        <w:t>2</w:t>
      </w:r>
      <w:r>
        <w:rPr>
          <w:rFonts w:hint="eastAsia"/>
          <w:sz w:val="24"/>
          <w:szCs w:val="24"/>
        </w:rPr>
        <w:t>、中标方应长期提供后续培训、升级、维护等技术、科研支持和培训计划。</w:t>
      </w:r>
    </w:p>
    <w:p w14:paraId="2E5F30AD">
      <w:pPr>
        <w:rPr>
          <w:sz w:val="24"/>
          <w:szCs w:val="24"/>
        </w:rPr>
      </w:pPr>
    </w:p>
    <w:p w14:paraId="5694BEA8">
      <w:pPr>
        <w:rPr>
          <w:sz w:val="24"/>
          <w:szCs w:val="24"/>
        </w:rPr>
      </w:pPr>
      <w:r>
        <w:rPr>
          <w:rFonts w:hint="eastAsia"/>
          <w:sz w:val="24"/>
          <w:szCs w:val="24"/>
        </w:rPr>
        <w:t>七、售后服务</w:t>
      </w:r>
    </w:p>
    <w:p w14:paraId="61989158">
      <w:pPr>
        <w:rPr>
          <w:rFonts w:hint="eastAsia"/>
          <w:color w:val="auto"/>
          <w:sz w:val="24"/>
          <w:szCs w:val="24"/>
          <w:highlight w:val="none"/>
        </w:rPr>
      </w:pPr>
      <w:r>
        <w:rPr>
          <w:color w:val="auto"/>
          <w:sz w:val="24"/>
          <w:szCs w:val="24"/>
          <w:highlight w:val="none"/>
        </w:rPr>
        <w:t xml:space="preserve">1. </w:t>
      </w:r>
      <w:r>
        <w:rPr>
          <w:rFonts w:hint="eastAsia"/>
          <w:color w:val="auto"/>
          <w:sz w:val="24"/>
          <w:szCs w:val="24"/>
          <w:highlight w:val="none"/>
        </w:rPr>
        <w:t>质保期</w:t>
      </w:r>
      <w:r>
        <w:rPr>
          <w:rFonts w:hint="eastAsia"/>
          <w:color w:val="auto"/>
          <w:sz w:val="24"/>
          <w:szCs w:val="24"/>
          <w:highlight w:val="none"/>
          <w:lang w:eastAsia="zh-CN"/>
        </w:rPr>
        <w:t>内</w:t>
      </w:r>
      <w:r>
        <w:rPr>
          <w:rFonts w:hint="eastAsia"/>
          <w:color w:val="auto"/>
          <w:sz w:val="24"/>
          <w:szCs w:val="24"/>
          <w:highlight w:val="none"/>
        </w:rPr>
        <w:t>：</w:t>
      </w:r>
    </w:p>
    <w:p w14:paraId="1492305D">
      <w:pPr>
        <w:rPr>
          <w:rFonts w:hint="eastAsia"/>
          <w:color w:val="FF0000"/>
          <w:sz w:val="24"/>
          <w:szCs w:val="24"/>
          <w:highlight w:val="none"/>
          <w:lang w:eastAsia="zh-CN"/>
        </w:rPr>
      </w:pPr>
      <w:r>
        <w:rPr>
          <w:rFonts w:hint="eastAsia"/>
          <w:color w:val="FF0000"/>
          <w:sz w:val="24"/>
          <w:szCs w:val="24"/>
          <w:highlight w:val="none"/>
          <w:lang w:val="en-US" w:eastAsia="zh-CN"/>
        </w:rPr>
        <w:t>1.1</w:t>
      </w:r>
      <w:r>
        <w:rPr>
          <w:rFonts w:hint="eastAsia"/>
          <w:color w:val="FF0000"/>
          <w:sz w:val="24"/>
          <w:szCs w:val="24"/>
          <w:highlight w:val="none"/>
          <w:lang w:eastAsia="zh-CN"/>
        </w:rPr>
        <w:t>整批设备保修≥</w:t>
      </w:r>
      <w:r>
        <w:rPr>
          <w:rFonts w:hint="eastAsia"/>
          <w:color w:val="FF0000"/>
          <w:sz w:val="24"/>
          <w:szCs w:val="24"/>
          <w:highlight w:val="none"/>
          <w:lang w:val="en-US" w:eastAsia="zh-CN"/>
        </w:rPr>
        <w:t>36个月，全部设备</w:t>
      </w:r>
      <w:r>
        <w:rPr>
          <w:rFonts w:hint="eastAsia"/>
          <w:color w:val="FF0000"/>
          <w:sz w:val="24"/>
          <w:szCs w:val="24"/>
          <w:highlight w:val="none"/>
        </w:rPr>
        <w:t>3个月内出现质量问题立即更换新</w:t>
      </w:r>
      <w:r>
        <w:rPr>
          <w:rFonts w:hint="eastAsia"/>
          <w:color w:val="FF0000"/>
          <w:sz w:val="24"/>
          <w:szCs w:val="24"/>
          <w:highlight w:val="none"/>
          <w:lang w:eastAsia="zh-CN"/>
        </w:rPr>
        <w:t>设备</w:t>
      </w:r>
      <w:r>
        <w:rPr>
          <w:rFonts w:hint="eastAsia"/>
          <w:color w:val="FF0000"/>
          <w:sz w:val="24"/>
          <w:szCs w:val="24"/>
          <w:highlight w:val="none"/>
        </w:rPr>
        <w:t>；并提供质保承诺</w:t>
      </w:r>
      <w:r>
        <w:rPr>
          <w:rFonts w:hint="eastAsia"/>
          <w:color w:val="FF0000"/>
          <w:sz w:val="24"/>
          <w:szCs w:val="24"/>
          <w:highlight w:val="none"/>
          <w:lang w:eastAsia="zh-CN"/>
        </w:rPr>
        <w:t>。</w:t>
      </w:r>
    </w:p>
    <w:p w14:paraId="13DCE9C6">
      <w:pPr>
        <w:rPr>
          <w:rFonts w:hint="eastAsia"/>
          <w:color w:val="auto"/>
          <w:sz w:val="24"/>
          <w:szCs w:val="24"/>
          <w:highlight w:val="none"/>
          <w:lang w:eastAsia="zh-CN"/>
        </w:rPr>
      </w:pPr>
      <w:r>
        <w:rPr>
          <w:rFonts w:hint="eastAsia"/>
          <w:color w:val="auto"/>
          <w:sz w:val="24"/>
          <w:szCs w:val="24"/>
          <w:highlight w:val="none"/>
          <w:lang w:val="en-US" w:eastAsia="zh-CN"/>
        </w:rPr>
        <w:t>1.2</w:t>
      </w:r>
      <w:r>
        <w:rPr>
          <w:rFonts w:hint="eastAsia"/>
          <w:color w:val="auto"/>
          <w:sz w:val="24"/>
          <w:szCs w:val="24"/>
          <w:highlight w:val="none"/>
          <w:lang w:eastAsia="zh-CN"/>
        </w:rPr>
        <w:t>相关设备涉及到的配套耗材：</w:t>
      </w:r>
      <w:r>
        <w:rPr>
          <w:rFonts w:hint="eastAsia"/>
          <w:color w:val="auto"/>
          <w:sz w:val="24"/>
          <w:szCs w:val="24"/>
          <w:highlight w:val="none"/>
          <w:lang w:val="en-US" w:eastAsia="zh-CN"/>
        </w:rPr>
        <w:t>a、</w:t>
      </w:r>
      <w:r>
        <w:rPr>
          <w:rFonts w:hint="eastAsia"/>
          <w:color w:val="auto"/>
          <w:sz w:val="24"/>
          <w:szCs w:val="24"/>
          <w:highlight w:val="none"/>
          <w:lang w:eastAsia="zh-CN"/>
        </w:rPr>
        <w:t>在平台目录内的耗材要求不高于平台目录价格；</w:t>
      </w:r>
      <w:r>
        <w:rPr>
          <w:rFonts w:hint="eastAsia"/>
          <w:color w:val="auto"/>
          <w:sz w:val="24"/>
          <w:szCs w:val="24"/>
          <w:highlight w:val="none"/>
          <w:lang w:val="en-US" w:eastAsia="zh-CN"/>
        </w:rPr>
        <w:t>b、</w:t>
      </w:r>
      <w:r>
        <w:rPr>
          <w:rFonts w:hint="eastAsia"/>
          <w:color w:val="auto"/>
          <w:sz w:val="24"/>
          <w:szCs w:val="24"/>
          <w:highlight w:val="none"/>
          <w:lang w:eastAsia="zh-CN"/>
        </w:rPr>
        <w:t>不在目录内但如果在本院有用的耗材，不高于本院的使用价格；</w:t>
      </w:r>
      <w:r>
        <w:rPr>
          <w:rFonts w:hint="eastAsia"/>
          <w:color w:val="auto"/>
          <w:sz w:val="24"/>
          <w:szCs w:val="24"/>
          <w:highlight w:val="none"/>
          <w:lang w:val="en-US" w:eastAsia="zh-CN"/>
        </w:rPr>
        <w:t>c、不在目录内也不在我院使用的耗材，</w:t>
      </w:r>
      <w:r>
        <w:rPr>
          <w:rFonts w:hint="eastAsia"/>
          <w:color w:val="auto"/>
          <w:sz w:val="24"/>
          <w:szCs w:val="24"/>
          <w:highlight w:val="none"/>
          <w:lang w:eastAsia="zh-CN"/>
        </w:rPr>
        <w:t>不高于省内同级别三甲医院的在用价格。对投标机型相匹配的配件均不高于实时市场价，并以低于市场价格的8折提供。</w:t>
      </w:r>
    </w:p>
    <w:p w14:paraId="6D20CA69">
      <w:pPr>
        <w:rPr>
          <w:sz w:val="24"/>
          <w:szCs w:val="24"/>
        </w:rPr>
      </w:pPr>
      <w:r>
        <w:rPr>
          <w:sz w:val="24"/>
          <w:szCs w:val="24"/>
        </w:rPr>
        <w:t xml:space="preserve">2. </w:t>
      </w:r>
      <w:r>
        <w:rPr>
          <w:rFonts w:hint="eastAsia"/>
          <w:sz w:val="24"/>
          <w:szCs w:val="24"/>
        </w:rPr>
        <w:t>质保期维修维护服务要求</w:t>
      </w:r>
      <w:r>
        <w:rPr>
          <w:sz w:val="24"/>
          <w:szCs w:val="24"/>
        </w:rPr>
        <w:t>:</w:t>
      </w:r>
    </w:p>
    <w:p w14:paraId="0429BF52">
      <w:pPr>
        <w:rPr>
          <w:sz w:val="24"/>
          <w:szCs w:val="24"/>
        </w:rPr>
      </w:pPr>
      <w:r>
        <w:rPr>
          <w:sz w:val="24"/>
          <w:szCs w:val="24"/>
        </w:rPr>
        <w:t>2.1</w:t>
      </w:r>
      <w:r>
        <w:rPr>
          <w:rFonts w:hint="eastAsia"/>
          <w:sz w:val="24"/>
          <w:szCs w:val="24"/>
        </w:rPr>
        <w:t>质保期内设备运行发生故障或出现质量问题</w:t>
      </w:r>
      <w:r>
        <w:rPr>
          <w:sz w:val="24"/>
          <w:szCs w:val="24"/>
        </w:rPr>
        <w:t xml:space="preserve">, </w:t>
      </w:r>
      <w:r>
        <w:rPr>
          <w:rFonts w:hint="eastAsia"/>
          <w:sz w:val="24"/>
          <w:szCs w:val="24"/>
        </w:rPr>
        <w:t>中标方接到采购方故障通知后，响应时间≤</w:t>
      </w:r>
      <w:r>
        <w:rPr>
          <w:sz w:val="24"/>
          <w:szCs w:val="24"/>
        </w:rPr>
        <w:t>2</w:t>
      </w:r>
      <w:r>
        <w:rPr>
          <w:rFonts w:hint="eastAsia"/>
          <w:sz w:val="24"/>
          <w:szCs w:val="24"/>
        </w:rPr>
        <w:t>小时；若电话指导无法排除故障</w:t>
      </w:r>
      <w:r>
        <w:rPr>
          <w:sz w:val="24"/>
          <w:szCs w:val="24"/>
        </w:rPr>
        <w:t xml:space="preserve">, </w:t>
      </w:r>
      <w:r>
        <w:rPr>
          <w:rFonts w:hint="eastAsia"/>
          <w:sz w:val="24"/>
          <w:szCs w:val="24"/>
        </w:rPr>
        <w:t>中标方技术员应在</w:t>
      </w:r>
      <w:r>
        <w:rPr>
          <w:sz w:val="24"/>
          <w:szCs w:val="24"/>
        </w:rPr>
        <w:t>24</w:t>
      </w:r>
      <w:r>
        <w:rPr>
          <w:rFonts w:hint="eastAsia"/>
          <w:sz w:val="24"/>
          <w:szCs w:val="24"/>
        </w:rPr>
        <w:t>小时内到场进行检查、维修、排除故障并出具维修维护报告</w:t>
      </w:r>
      <w:r>
        <w:rPr>
          <w:sz w:val="24"/>
          <w:szCs w:val="24"/>
        </w:rPr>
        <w:t>,</w:t>
      </w:r>
      <w:r>
        <w:rPr>
          <w:rFonts w:hint="eastAsia"/>
          <w:sz w:val="24"/>
          <w:szCs w:val="24"/>
        </w:rPr>
        <w:t>若机件损坏，中标方应免费更换损坏的零部件，修理费用由中标方负责，其差旅费用（包含住宿、交通、生活补助等）由中标方承担。保修期内因故障停机，按停机时间双倍顺延保修期。</w:t>
      </w:r>
    </w:p>
    <w:p w14:paraId="23733C7F">
      <w:pPr>
        <w:rPr>
          <w:sz w:val="24"/>
          <w:szCs w:val="24"/>
        </w:rPr>
      </w:pPr>
      <w:r>
        <w:rPr>
          <w:sz w:val="24"/>
          <w:szCs w:val="24"/>
        </w:rPr>
        <w:t xml:space="preserve">2.2 </w:t>
      </w:r>
      <w:r>
        <w:rPr>
          <w:rFonts w:hint="eastAsia"/>
          <w:sz w:val="24"/>
          <w:szCs w:val="24"/>
        </w:rPr>
        <w:t>质保期内出现质量问题：指设备无法正常运行，或同一类故障累计发生</w:t>
      </w:r>
      <w:r>
        <w:rPr>
          <w:sz w:val="24"/>
          <w:szCs w:val="24"/>
        </w:rPr>
        <w:t>3</w:t>
      </w:r>
      <w:r>
        <w:rPr>
          <w:rFonts w:hint="eastAsia"/>
          <w:sz w:val="24"/>
          <w:szCs w:val="24"/>
        </w:rPr>
        <w:t>次，或设备故障在</w:t>
      </w:r>
      <w:r>
        <w:rPr>
          <w:sz w:val="24"/>
          <w:szCs w:val="24"/>
        </w:rPr>
        <w:t>15</w:t>
      </w:r>
      <w:r>
        <w:rPr>
          <w:rFonts w:hint="eastAsia"/>
          <w:sz w:val="24"/>
          <w:szCs w:val="24"/>
        </w:rPr>
        <w:t>日内无法修复等情况，中标方应立即无条件更换相同品牌规格型号的新机，其质保期顺延。</w:t>
      </w:r>
    </w:p>
    <w:p w14:paraId="12461C3F">
      <w:pPr>
        <w:rPr>
          <w:sz w:val="24"/>
          <w:szCs w:val="24"/>
        </w:rPr>
      </w:pPr>
      <w:r>
        <w:rPr>
          <w:sz w:val="24"/>
          <w:szCs w:val="24"/>
        </w:rPr>
        <w:t>2.3</w:t>
      </w:r>
      <w:r>
        <w:rPr>
          <w:rFonts w:hint="eastAsia"/>
          <w:sz w:val="24"/>
          <w:szCs w:val="24"/>
        </w:rPr>
        <w:t>质保期内中标方技术人员每年应现场免费保养至少</w:t>
      </w:r>
      <w:r>
        <w:rPr>
          <w:sz w:val="24"/>
          <w:szCs w:val="24"/>
        </w:rPr>
        <w:t>2</w:t>
      </w:r>
      <w:r>
        <w:rPr>
          <w:rFonts w:hint="eastAsia"/>
          <w:sz w:val="24"/>
          <w:szCs w:val="24"/>
        </w:rPr>
        <w:t>次，每次现场维修保养后均应及时向业主提交维修保养报告存档。</w:t>
      </w:r>
    </w:p>
    <w:p w14:paraId="5BD1BF60">
      <w:pPr>
        <w:rPr>
          <w:color w:val="auto"/>
          <w:sz w:val="24"/>
          <w:szCs w:val="24"/>
        </w:rPr>
      </w:pPr>
      <w:r>
        <w:rPr>
          <w:color w:val="auto"/>
          <w:sz w:val="24"/>
          <w:szCs w:val="24"/>
        </w:rPr>
        <w:t>2.4</w:t>
      </w:r>
      <w:r>
        <w:rPr>
          <w:rFonts w:hint="eastAsia"/>
          <w:color w:val="auto"/>
          <w:sz w:val="24"/>
          <w:szCs w:val="24"/>
        </w:rPr>
        <w:t>质保期内若未按要求完成维保次数的，按维保周期相应延长保修期，在此期间设备发生故障所产生的一切费用由中标方承担，维保服务按约定完成后且待保修期满后无任何问题或出现的问题处理完毕后无息退还履约保证金。</w:t>
      </w:r>
    </w:p>
    <w:p w14:paraId="241D374F">
      <w:pPr>
        <w:rPr>
          <w:sz w:val="24"/>
          <w:szCs w:val="24"/>
        </w:rPr>
      </w:pPr>
      <w:r>
        <w:rPr>
          <w:sz w:val="24"/>
          <w:szCs w:val="24"/>
        </w:rPr>
        <w:t xml:space="preserve">3. </w:t>
      </w:r>
      <w:r>
        <w:rPr>
          <w:rFonts w:hint="eastAsia"/>
          <w:sz w:val="24"/>
          <w:szCs w:val="24"/>
        </w:rPr>
        <w:t>保修期满后的维修维护服务：</w:t>
      </w:r>
    </w:p>
    <w:p w14:paraId="242C16BC">
      <w:pPr>
        <w:rPr>
          <w:sz w:val="24"/>
          <w:szCs w:val="24"/>
        </w:rPr>
      </w:pPr>
      <w:r>
        <w:rPr>
          <w:sz w:val="24"/>
          <w:szCs w:val="24"/>
        </w:rPr>
        <w:t>3.1</w:t>
      </w:r>
      <w:r>
        <w:rPr>
          <w:rFonts w:hint="eastAsia"/>
          <w:sz w:val="24"/>
          <w:szCs w:val="24"/>
        </w:rPr>
        <w:t>保修期满后，提供终身维修、维护服务。</w:t>
      </w:r>
    </w:p>
    <w:p w14:paraId="0496B28C">
      <w:pPr>
        <w:rPr>
          <w:sz w:val="24"/>
          <w:szCs w:val="24"/>
        </w:rPr>
      </w:pPr>
      <w:r>
        <w:rPr>
          <w:sz w:val="24"/>
          <w:szCs w:val="24"/>
        </w:rPr>
        <w:t>3.2</w:t>
      </w:r>
      <w:r>
        <w:rPr>
          <w:rFonts w:hint="eastAsia"/>
          <w:sz w:val="24"/>
          <w:szCs w:val="24"/>
        </w:rPr>
        <w:t>保修期满后，如遇设备故障，中标方应及时处理设备故障等质量问题</w:t>
      </w:r>
      <w:r>
        <w:rPr>
          <w:sz w:val="24"/>
          <w:szCs w:val="24"/>
        </w:rPr>
        <w:t>,</w:t>
      </w:r>
      <w:r>
        <w:rPr>
          <w:rFonts w:hint="eastAsia"/>
          <w:sz w:val="24"/>
          <w:szCs w:val="24"/>
        </w:rPr>
        <w:t>接到采购方故障通知，响应时间≤</w:t>
      </w:r>
      <w:r>
        <w:rPr>
          <w:sz w:val="24"/>
          <w:szCs w:val="24"/>
        </w:rPr>
        <w:t>2</w:t>
      </w:r>
      <w:r>
        <w:rPr>
          <w:rFonts w:hint="eastAsia"/>
          <w:sz w:val="24"/>
          <w:szCs w:val="24"/>
        </w:rPr>
        <w:t>小时；若电话指导无法排除故障</w:t>
      </w:r>
      <w:r>
        <w:rPr>
          <w:sz w:val="24"/>
          <w:szCs w:val="24"/>
        </w:rPr>
        <w:t>,</w:t>
      </w:r>
      <w:r>
        <w:rPr>
          <w:rFonts w:hint="eastAsia"/>
          <w:sz w:val="24"/>
          <w:szCs w:val="24"/>
        </w:rPr>
        <w:t>中标方技术员应在</w:t>
      </w:r>
      <w:r>
        <w:rPr>
          <w:sz w:val="24"/>
          <w:szCs w:val="24"/>
        </w:rPr>
        <w:t>48</w:t>
      </w:r>
      <w:r>
        <w:rPr>
          <w:rFonts w:hint="eastAsia"/>
          <w:sz w:val="24"/>
          <w:szCs w:val="24"/>
        </w:rPr>
        <w:t>小时内到场进行检查、维修并排除故障，仅收取零配件费用，免收修理费及其差旅费等费用。</w:t>
      </w:r>
    </w:p>
    <w:p w14:paraId="33BD2723">
      <w:pPr>
        <w:rPr>
          <w:sz w:val="24"/>
          <w:szCs w:val="24"/>
        </w:rPr>
      </w:pPr>
      <w:r>
        <w:rPr>
          <w:sz w:val="24"/>
          <w:szCs w:val="24"/>
        </w:rPr>
        <w:t xml:space="preserve">4. </w:t>
      </w:r>
      <w:r>
        <w:rPr>
          <w:rFonts w:hint="eastAsia"/>
          <w:sz w:val="24"/>
          <w:szCs w:val="24"/>
        </w:rPr>
        <w:t>其他商务及售后服务要求：</w:t>
      </w:r>
    </w:p>
    <w:p w14:paraId="3363D801">
      <w:pPr>
        <w:rPr>
          <w:sz w:val="24"/>
          <w:szCs w:val="24"/>
        </w:rPr>
      </w:pPr>
      <w:r>
        <w:rPr>
          <w:sz w:val="24"/>
          <w:szCs w:val="24"/>
        </w:rPr>
        <w:t>4.1</w:t>
      </w:r>
      <w:r>
        <w:rPr>
          <w:rFonts w:hint="eastAsia"/>
          <w:sz w:val="24"/>
          <w:szCs w:val="24"/>
        </w:rPr>
        <w:t>如中标方被兼并或者代理商不再理代理该产品，中标方须做好相关移交手续，原合同及协议一切条款继续有效。</w:t>
      </w:r>
    </w:p>
    <w:p w14:paraId="3E3E0F6D">
      <w:pPr>
        <w:rPr>
          <w:sz w:val="24"/>
          <w:szCs w:val="24"/>
        </w:rPr>
      </w:pPr>
      <w:r>
        <w:rPr>
          <w:sz w:val="24"/>
          <w:szCs w:val="24"/>
        </w:rPr>
        <w:t>4.2</w:t>
      </w:r>
      <w:r>
        <w:rPr>
          <w:rFonts w:hint="eastAsia"/>
          <w:sz w:val="24"/>
          <w:szCs w:val="24"/>
        </w:rPr>
        <w:t>为保证设备正常运行，制造商在中国大陆境内应设有投标机型的零配件仓库，电路板主要零配件能确保库存。</w:t>
      </w:r>
    </w:p>
    <w:p w14:paraId="077A804C">
      <w:pPr>
        <w:rPr>
          <w:sz w:val="24"/>
          <w:szCs w:val="24"/>
        </w:rPr>
      </w:pPr>
      <w:r>
        <w:rPr>
          <w:sz w:val="24"/>
          <w:szCs w:val="24"/>
        </w:rPr>
        <w:t xml:space="preserve">4.3 </w:t>
      </w:r>
      <w:r>
        <w:rPr>
          <w:rFonts w:hint="eastAsia"/>
          <w:sz w:val="24"/>
          <w:szCs w:val="24"/>
        </w:rPr>
        <w:t>零配件供货时间应≤</w:t>
      </w:r>
      <w:r>
        <w:rPr>
          <w:sz w:val="24"/>
          <w:szCs w:val="24"/>
        </w:rPr>
        <w:t>7</w:t>
      </w:r>
      <w:r>
        <w:rPr>
          <w:rFonts w:hint="eastAsia"/>
          <w:sz w:val="24"/>
          <w:szCs w:val="24"/>
        </w:rPr>
        <w:t>个日历日。</w:t>
      </w:r>
    </w:p>
    <w:p w14:paraId="542D06AC">
      <w:pPr>
        <w:rPr>
          <w:sz w:val="24"/>
          <w:szCs w:val="24"/>
        </w:rPr>
      </w:pPr>
      <w:r>
        <w:rPr>
          <w:sz w:val="24"/>
          <w:szCs w:val="24"/>
        </w:rPr>
        <w:t>4.4</w:t>
      </w:r>
      <w:r>
        <w:rPr>
          <w:rFonts w:hint="eastAsia"/>
          <w:sz w:val="24"/>
          <w:szCs w:val="24"/>
        </w:rPr>
        <w:t>应能提供每周</w:t>
      </w:r>
      <w:r>
        <w:rPr>
          <w:sz w:val="24"/>
          <w:szCs w:val="24"/>
        </w:rPr>
        <w:t>7</w:t>
      </w:r>
      <w:r>
        <w:rPr>
          <w:rFonts w:hint="eastAsia"/>
          <w:sz w:val="24"/>
          <w:szCs w:val="24"/>
        </w:rPr>
        <w:t>×</w:t>
      </w:r>
      <w:r>
        <w:rPr>
          <w:sz w:val="24"/>
          <w:szCs w:val="24"/>
        </w:rPr>
        <w:t>24</w:t>
      </w:r>
      <w:r>
        <w:rPr>
          <w:rFonts w:hint="eastAsia"/>
          <w:sz w:val="24"/>
          <w:szCs w:val="24"/>
        </w:rPr>
        <w:t>小时的全天候售后服务，并确保有专人受理。</w:t>
      </w:r>
    </w:p>
    <w:p w14:paraId="31B75630">
      <w:pPr>
        <w:rPr>
          <w:sz w:val="24"/>
          <w:szCs w:val="24"/>
        </w:rPr>
      </w:pPr>
      <w:r>
        <w:rPr>
          <w:sz w:val="24"/>
          <w:szCs w:val="24"/>
        </w:rPr>
        <w:t>4.5</w:t>
      </w:r>
      <w:r>
        <w:rPr>
          <w:rFonts w:hint="eastAsia"/>
          <w:sz w:val="24"/>
          <w:szCs w:val="24"/>
        </w:rPr>
        <w:t>福建省内设有服务和维修机构，至少有二名以上常驻工程师，以确保安装和售后服务由生产厂家直接完成。要求列出售后服务人员名单、维修资质证件，联系电话等相关资料。</w:t>
      </w:r>
    </w:p>
    <w:p w14:paraId="3F30B02A">
      <w:pPr>
        <w:rPr>
          <w:sz w:val="24"/>
          <w:szCs w:val="24"/>
        </w:rPr>
      </w:pPr>
      <w:r>
        <w:rPr>
          <w:sz w:val="24"/>
          <w:szCs w:val="24"/>
        </w:rPr>
        <w:t>4.6</w:t>
      </w:r>
      <w:r>
        <w:rPr>
          <w:rFonts w:hint="eastAsia"/>
          <w:sz w:val="24"/>
          <w:szCs w:val="24"/>
        </w:rPr>
        <w:t>技术资料要求：中标方提供完整的技术资料包括：产品验收标准（含产品合格证验收清单等）、技术说明书、使用说明书、设备安装调试资料及其维修资料、出厂检验合格报告、合格证书、装箱单、零部件目录；备品备件易耗件清单及合同中要求的其他文件资料。其中技术说明书、使用说明书、维修资料需提供</w:t>
      </w:r>
      <w:r>
        <w:rPr>
          <w:sz w:val="24"/>
          <w:szCs w:val="24"/>
        </w:rPr>
        <w:t>2</w:t>
      </w:r>
      <w:r>
        <w:rPr>
          <w:rFonts w:hint="eastAsia"/>
          <w:sz w:val="24"/>
          <w:szCs w:val="24"/>
        </w:rPr>
        <w:t>套。</w:t>
      </w:r>
    </w:p>
    <w:p w14:paraId="741A9FCF">
      <w:pPr>
        <w:rPr>
          <w:sz w:val="24"/>
          <w:szCs w:val="24"/>
        </w:rPr>
      </w:pPr>
      <w:r>
        <w:rPr>
          <w:rFonts w:hint="eastAsia"/>
          <w:sz w:val="24"/>
          <w:szCs w:val="24"/>
        </w:rPr>
        <w:t>八、报价要求</w:t>
      </w:r>
    </w:p>
    <w:p w14:paraId="4C613865">
      <w:pPr>
        <w:rPr>
          <w:sz w:val="24"/>
          <w:szCs w:val="24"/>
        </w:rPr>
      </w:pPr>
      <w:r>
        <w:rPr>
          <w:rFonts w:hint="eastAsia"/>
          <w:sz w:val="24"/>
          <w:szCs w:val="24"/>
        </w:rPr>
        <w:t>投标人所报总价为货物送达采购人指定地点，交货安装完毕并经采购人验收合格期间所可能发生的费用，包含产品制造、运输、保险、安装、调试、培训、保修，以及所有根据合同或其它原因应由投标人支付的税金和其它应缴的费用</w:t>
      </w:r>
      <w:r>
        <w:rPr>
          <w:sz w:val="24"/>
          <w:szCs w:val="24"/>
        </w:rPr>
        <w:t>(</w:t>
      </w:r>
      <w:r>
        <w:rPr>
          <w:rFonts w:hint="eastAsia"/>
          <w:sz w:val="24"/>
          <w:szCs w:val="24"/>
        </w:rPr>
        <w:t>报价单位为人民币</w:t>
      </w:r>
      <w:r>
        <w:rPr>
          <w:sz w:val="24"/>
          <w:szCs w:val="24"/>
        </w:rPr>
        <w:t>)</w:t>
      </w:r>
      <w:r>
        <w:rPr>
          <w:rFonts w:hint="eastAsia"/>
          <w:sz w:val="24"/>
          <w:szCs w:val="24"/>
        </w:rPr>
        <w:t>。</w:t>
      </w:r>
    </w:p>
    <w:p w14:paraId="43839207">
      <w:pPr>
        <w:rPr>
          <w:sz w:val="24"/>
          <w:szCs w:val="24"/>
        </w:rPr>
      </w:pPr>
    </w:p>
    <w:p w14:paraId="7A74959B">
      <w:pPr>
        <w:numPr>
          <w:ilvl w:val="0"/>
          <w:numId w:val="1"/>
        </w:numPr>
        <w:rPr>
          <w:sz w:val="24"/>
          <w:szCs w:val="24"/>
        </w:rPr>
      </w:pPr>
      <w:r>
        <w:rPr>
          <w:rFonts w:hint="eastAsia"/>
          <w:sz w:val="24"/>
          <w:szCs w:val="24"/>
        </w:rPr>
        <w:t>付款方式</w:t>
      </w:r>
    </w:p>
    <w:p w14:paraId="199BCC5F">
      <w:pPr>
        <w:rPr>
          <w:color w:val="FF0000"/>
          <w:sz w:val="24"/>
          <w:szCs w:val="24"/>
        </w:rPr>
      </w:pPr>
      <w:r>
        <w:rPr>
          <w:rFonts w:hint="eastAsia"/>
          <w:color w:val="FF0000"/>
          <w:sz w:val="24"/>
          <w:szCs w:val="24"/>
        </w:rPr>
        <w:t>支付方式：货到</w:t>
      </w:r>
      <w:r>
        <w:rPr>
          <w:rFonts w:hint="eastAsia"/>
          <w:color w:val="FF0000"/>
          <w:sz w:val="24"/>
          <w:szCs w:val="24"/>
          <w:lang w:eastAsia="zh-CN"/>
        </w:rPr>
        <w:t>安装</w:t>
      </w:r>
      <w:r>
        <w:rPr>
          <w:rFonts w:hint="eastAsia"/>
          <w:color w:val="FF0000"/>
          <w:sz w:val="24"/>
          <w:szCs w:val="24"/>
        </w:rPr>
        <w:t>验收使用且无任何问题，甲方将支付合同款总额的100%。（付款前乙方应开具合同全额发票）。</w:t>
      </w:r>
    </w:p>
    <w:p w14:paraId="1C862D6A">
      <w:pPr>
        <w:rPr>
          <w:color w:val="FF0000"/>
          <w:sz w:val="24"/>
          <w:szCs w:val="24"/>
        </w:rPr>
      </w:pPr>
      <w:r>
        <w:rPr>
          <w:rFonts w:hint="eastAsia"/>
          <w:color w:val="FF0000"/>
          <w:sz w:val="24"/>
          <w:szCs w:val="24"/>
        </w:rPr>
        <w:t>履约保证金：有，具体如下：履约保证金百分比：10%。说明：在中标通知书下达7天内签订合同之前采购单位指定帐户提交中标金额的10%作为履约保证金</w:t>
      </w:r>
      <w:r>
        <w:rPr>
          <w:rFonts w:hint="eastAsia"/>
          <w:color w:val="FF0000"/>
          <w:sz w:val="24"/>
          <w:szCs w:val="24"/>
          <w:lang w:eastAsia="zh-CN"/>
        </w:rPr>
        <w:t>，</w:t>
      </w:r>
      <w:r>
        <w:rPr>
          <w:rFonts w:hint="eastAsia"/>
          <w:color w:val="FF0000"/>
          <w:sz w:val="24"/>
          <w:szCs w:val="24"/>
        </w:rPr>
        <w:t>履约保证金的退还时间为合同履约结束后且无任何问题或出现的问题处理完毕后无息退还。</w:t>
      </w:r>
    </w:p>
    <w:p w14:paraId="1F7297AE">
      <w:pPr>
        <w:autoSpaceDN w:val="0"/>
        <w:spacing w:line="400" w:lineRule="exact"/>
        <w:rPr>
          <w:rFonts w:ascii="宋体" w:hAnsi="宋体" w:cs="宋体"/>
          <w:b/>
          <w:bCs/>
          <w:sz w:val="24"/>
        </w:rPr>
      </w:pPr>
    </w:p>
    <w:p w14:paraId="31029FE4">
      <w:pPr>
        <w:autoSpaceDN w:val="0"/>
        <w:spacing w:line="400" w:lineRule="exact"/>
        <w:rPr>
          <w:rFonts w:ascii="宋体" w:hAnsi="宋体" w:cs="宋体"/>
          <w:b/>
          <w:bCs/>
          <w:sz w:val="24"/>
        </w:rPr>
      </w:pPr>
    </w:p>
    <w:p w14:paraId="20F4FFB1">
      <w:pPr>
        <w:autoSpaceDN w:val="0"/>
        <w:spacing w:line="400" w:lineRule="exact"/>
        <w:rPr>
          <w:rFonts w:ascii="宋体" w:hAnsi="宋体" w:cs="宋体"/>
          <w:b/>
          <w:bCs/>
          <w:sz w:val="24"/>
        </w:rPr>
      </w:pPr>
    </w:p>
    <w:p w14:paraId="7E9ACFC4">
      <w:pPr>
        <w:autoSpaceDN w:val="0"/>
        <w:spacing w:line="400" w:lineRule="exact"/>
        <w:rPr>
          <w:rFonts w:ascii="宋体" w:hAnsi="宋体" w:cs="宋体"/>
          <w:b/>
          <w:bCs/>
          <w:sz w:val="24"/>
        </w:rPr>
      </w:pPr>
    </w:p>
    <w:p w14:paraId="575590AB">
      <w:pPr>
        <w:widowControl/>
        <w:spacing w:before="100" w:beforeAutospacing="1" w:after="100" w:afterAutospacing="1"/>
        <w:jc w:val="left"/>
        <w:rPr>
          <w:rFonts w:ascii="宋体" w:hAnsi="宋体" w:cs="宋体"/>
          <w:kern w:val="0"/>
          <w:sz w:val="24"/>
        </w:rPr>
      </w:pPr>
    </w:p>
    <w:sectPr>
      <w:footerReference r:id="rId3" w:type="default"/>
      <w:footerReference r:id="rId4" w:type="even"/>
      <w:pgSz w:w="11906" w:h="16838"/>
      <w:pgMar w:top="1091" w:right="1800" w:bottom="28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A69C">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1</w:t>
    </w:r>
    <w:r>
      <w:fldChar w:fldCharType="end"/>
    </w:r>
  </w:p>
  <w:p w14:paraId="30ADD56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2AE4C">
    <w:pPr>
      <w:pStyle w:val="8"/>
      <w:framePr w:wrap="around" w:vAnchor="text" w:hAnchor="margin" w:xAlign="center" w:y="1"/>
      <w:rPr>
        <w:rStyle w:val="13"/>
      </w:rPr>
    </w:pPr>
    <w:r>
      <w:fldChar w:fldCharType="begin"/>
    </w:r>
    <w:r>
      <w:rPr>
        <w:rStyle w:val="13"/>
      </w:rPr>
      <w:instrText xml:space="preserve">PAGE  </w:instrText>
    </w:r>
    <w:r>
      <w:fldChar w:fldCharType="end"/>
    </w:r>
  </w:p>
  <w:p w14:paraId="79642521">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C6F19"/>
    <w:multiLevelType w:val="singleLevel"/>
    <w:tmpl w:val="592C6F19"/>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dkMTM3NzBmY2E2ZGRmNjg0ZjZiMzMwYWMwMjlmNGIifQ=="/>
  </w:docVars>
  <w:rsids>
    <w:rsidRoot w:val="00172A27"/>
    <w:rsid w:val="0001581B"/>
    <w:rsid w:val="000202F9"/>
    <w:rsid w:val="00031C84"/>
    <w:rsid w:val="00034501"/>
    <w:rsid w:val="00041F73"/>
    <w:rsid w:val="00045CA8"/>
    <w:rsid w:val="00051ABC"/>
    <w:rsid w:val="000641A9"/>
    <w:rsid w:val="00090BEA"/>
    <w:rsid w:val="000B0DC3"/>
    <w:rsid w:val="000B27BC"/>
    <w:rsid w:val="000B6C78"/>
    <w:rsid w:val="000C37BA"/>
    <w:rsid w:val="000C63D9"/>
    <w:rsid w:val="000D0719"/>
    <w:rsid w:val="000D3665"/>
    <w:rsid w:val="000D4306"/>
    <w:rsid w:val="000E5AAE"/>
    <w:rsid w:val="000F24DF"/>
    <w:rsid w:val="000F67DD"/>
    <w:rsid w:val="00102A94"/>
    <w:rsid w:val="00114F59"/>
    <w:rsid w:val="00145EDD"/>
    <w:rsid w:val="00153C26"/>
    <w:rsid w:val="00172A27"/>
    <w:rsid w:val="00180A5D"/>
    <w:rsid w:val="00183C9D"/>
    <w:rsid w:val="00184735"/>
    <w:rsid w:val="001960DF"/>
    <w:rsid w:val="001B1DD6"/>
    <w:rsid w:val="001D73D7"/>
    <w:rsid w:val="001F40A7"/>
    <w:rsid w:val="001F687D"/>
    <w:rsid w:val="00216D05"/>
    <w:rsid w:val="00226619"/>
    <w:rsid w:val="00232C22"/>
    <w:rsid w:val="00244730"/>
    <w:rsid w:val="002638B0"/>
    <w:rsid w:val="00281468"/>
    <w:rsid w:val="002A4BF5"/>
    <w:rsid w:val="002B0190"/>
    <w:rsid w:val="002D1676"/>
    <w:rsid w:val="002D3743"/>
    <w:rsid w:val="002E1E14"/>
    <w:rsid w:val="0031136A"/>
    <w:rsid w:val="00313A5E"/>
    <w:rsid w:val="00316077"/>
    <w:rsid w:val="00322632"/>
    <w:rsid w:val="003A6C5F"/>
    <w:rsid w:val="003C51CB"/>
    <w:rsid w:val="004017D1"/>
    <w:rsid w:val="00415572"/>
    <w:rsid w:val="00421F56"/>
    <w:rsid w:val="004528A6"/>
    <w:rsid w:val="00453CC4"/>
    <w:rsid w:val="004C1CDF"/>
    <w:rsid w:val="004C42D6"/>
    <w:rsid w:val="004C4A1B"/>
    <w:rsid w:val="004C7FB4"/>
    <w:rsid w:val="004E4A8C"/>
    <w:rsid w:val="00504243"/>
    <w:rsid w:val="00530B20"/>
    <w:rsid w:val="00536998"/>
    <w:rsid w:val="005536F5"/>
    <w:rsid w:val="00555185"/>
    <w:rsid w:val="00582B74"/>
    <w:rsid w:val="005A13BE"/>
    <w:rsid w:val="005C06F7"/>
    <w:rsid w:val="005D047E"/>
    <w:rsid w:val="005D349D"/>
    <w:rsid w:val="005E7FF7"/>
    <w:rsid w:val="005F3DA9"/>
    <w:rsid w:val="00607200"/>
    <w:rsid w:val="00613C79"/>
    <w:rsid w:val="006330ED"/>
    <w:rsid w:val="00642C74"/>
    <w:rsid w:val="00666500"/>
    <w:rsid w:val="0067767F"/>
    <w:rsid w:val="00681634"/>
    <w:rsid w:val="006A7642"/>
    <w:rsid w:val="006B0635"/>
    <w:rsid w:val="006B533F"/>
    <w:rsid w:val="006C420E"/>
    <w:rsid w:val="00715019"/>
    <w:rsid w:val="00727AC0"/>
    <w:rsid w:val="00734FD3"/>
    <w:rsid w:val="00740DD0"/>
    <w:rsid w:val="00754BCA"/>
    <w:rsid w:val="0078307E"/>
    <w:rsid w:val="00786110"/>
    <w:rsid w:val="007B0133"/>
    <w:rsid w:val="007C1970"/>
    <w:rsid w:val="007C2E19"/>
    <w:rsid w:val="007C6C07"/>
    <w:rsid w:val="007E72E1"/>
    <w:rsid w:val="008117B3"/>
    <w:rsid w:val="00815B79"/>
    <w:rsid w:val="0083727A"/>
    <w:rsid w:val="00863A29"/>
    <w:rsid w:val="008814C4"/>
    <w:rsid w:val="00882F2E"/>
    <w:rsid w:val="00897252"/>
    <w:rsid w:val="008A1142"/>
    <w:rsid w:val="008A437E"/>
    <w:rsid w:val="008C551C"/>
    <w:rsid w:val="008F1B20"/>
    <w:rsid w:val="00921526"/>
    <w:rsid w:val="00956EF7"/>
    <w:rsid w:val="0098465E"/>
    <w:rsid w:val="009D39F8"/>
    <w:rsid w:val="00A02A2B"/>
    <w:rsid w:val="00A04794"/>
    <w:rsid w:val="00A057D5"/>
    <w:rsid w:val="00A105A8"/>
    <w:rsid w:val="00A30637"/>
    <w:rsid w:val="00A40118"/>
    <w:rsid w:val="00A46ABE"/>
    <w:rsid w:val="00A475F1"/>
    <w:rsid w:val="00A8044C"/>
    <w:rsid w:val="00A82D35"/>
    <w:rsid w:val="00B103E0"/>
    <w:rsid w:val="00B10C5D"/>
    <w:rsid w:val="00B11841"/>
    <w:rsid w:val="00B25D2A"/>
    <w:rsid w:val="00BB4D17"/>
    <w:rsid w:val="00BD233A"/>
    <w:rsid w:val="00BF5E7D"/>
    <w:rsid w:val="00C11906"/>
    <w:rsid w:val="00C23409"/>
    <w:rsid w:val="00C373E2"/>
    <w:rsid w:val="00C40EDC"/>
    <w:rsid w:val="00C518FB"/>
    <w:rsid w:val="00C5577B"/>
    <w:rsid w:val="00C72C5A"/>
    <w:rsid w:val="00C7432B"/>
    <w:rsid w:val="00CB0069"/>
    <w:rsid w:val="00CD0463"/>
    <w:rsid w:val="00CD748D"/>
    <w:rsid w:val="00D0751A"/>
    <w:rsid w:val="00D15300"/>
    <w:rsid w:val="00DB6B43"/>
    <w:rsid w:val="00DC390F"/>
    <w:rsid w:val="00DE165A"/>
    <w:rsid w:val="00E36425"/>
    <w:rsid w:val="00E428DA"/>
    <w:rsid w:val="00E652C1"/>
    <w:rsid w:val="00EB4B6D"/>
    <w:rsid w:val="00EF09E2"/>
    <w:rsid w:val="00F60A87"/>
    <w:rsid w:val="00F7128D"/>
    <w:rsid w:val="00FA60A8"/>
    <w:rsid w:val="00FC7A95"/>
    <w:rsid w:val="00FD2ECE"/>
    <w:rsid w:val="00FF7E51"/>
    <w:rsid w:val="0C1A43A7"/>
    <w:rsid w:val="10543BC3"/>
    <w:rsid w:val="2FA454DF"/>
    <w:rsid w:val="3A2D05F7"/>
    <w:rsid w:val="5B3A31FD"/>
    <w:rsid w:val="5F9C1C67"/>
    <w:rsid w:val="67417F8F"/>
    <w:rsid w:val="68BB5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outlineLvl w:val="0"/>
    </w:pPr>
    <w:rPr>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next w:val="3"/>
    <w:qFormat/>
    <w:uiPriority w:val="0"/>
    <w:pPr>
      <w:ind w:firstLine="420" w:firstLineChars="200"/>
    </w:pPr>
    <w:rPr>
      <w:rFonts w:ascii="等线" w:hAnsi="等线" w:eastAsia="等线"/>
      <w:sz w:val="20"/>
    </w:rPr>
  </w:style>
  <w:style w:type="paragraph" w:styleId="3">
    <w:name w:val="Body Text Indent 3"/>
    <w:basedOn w:val="1"/>
    <w:qFormat/>
    <w:uiPriority w:val="99"/>
    <w:pPr>
      <w:spacing w:after="120"/>
      <w:ind w:left="420" w:leftChars="200"/>
    </w:pPr>
    <w:rPr>
      <w:sz w:val="16"/>
      <w:szCs w:val="16"/>
    </w:rPr>
  </w:style>
  <w:style w:type="paragraph" w:styleId="5">
    <w:name w:val="Body Text"/>
    <w:basedOn w:val="1"/>
    <w:qFormat/>
    <w:uiPriority w:val="0"/>
    <w:rPr>
      <w:rFonts w:ascii="宋体" w:hAnsi="Arial"/>
      <w:sz w:val="28"/>
      <w:szCs w:val="20"/>
    </w:rPr>
  </w:style>
  <w:style w:type="paragraph" w:styleId="6">
    <w:name w:val="Plain Text"/>
    <w:basedOn w:val="1"/>
    <w:qFormat/>
    <w:uiPriority w:val="0"/>
    <w:rPr>
      <w:rFonts w:ascii="宋体" w:hAnsi="Courier New"/>
      <w:szCs w:val="20"/>
    </w:r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rPr>
      <w:szCs w:val="20"/>
    </w:rPr>
  </w:style>
  <w:style w:type="character" w:styleId="13">
    <w:name w:val="page number"/>
    <w:basedOn w:val="12"/>
    <w:qFormat/>
    <w:uiPriority w:val="0"/>
  </w:style>
  <w:style w:type="paragraph" w:customStyle="1" w:styleId="1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5">
    <w:name w:val="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6">
    <w:name w:val="页眉 Char"/>
    <w:link w:val="9"/>
    <w:qFormat/>
    <w:uiPriority w:val="0"/>
    <w:rPr>
      <w:kern w:val="2"/>
      <w:sz w:val="18"/>
      <w:szCs w:val="18"/>
    </w:rPr>
  </w:style>
  <w:style w:type="character" w:customStyle="1" w:styleId="17">
    <w:name w:val="批注框文本 Char"/>
    <w:basedOn w:val="12"/>
    <w:link w:val="7"/>
    <w:qFormat/>
    <w:uiPriority w:val="0"/>
    <w:rPr>
      <w:kern w:val="2"/>
      <w:sz w:val="18"/>
      <w:szCs w:val="18"/>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4926</Words>
  <Characters>5109</Characters>
  <Lines>23</Lines>
  <Paragraphs>6</Paragraphs>
  <TotalTime>8</TotalTime>
  <ScaleCrop>false</ScaleCrop>
  <LinksUpToDate>false</LinksUpToDate>
  <CharactersWithSpaces>5140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2017-11-14T01:40:00Z</dcterms:created>
  <dc:creator>微软用户</dc:creator>
  <cp:lastModifiedBy>stae</cp:lastModifiedBy>
  <cp:lastPrinted>2019-04-29T00:45:00Z</cp:lastPrinted>
  <dcterms:modified xsi:type="dcterms:W3CDTF">2025-03-14T06:29:58Z</dcterms:modified>
  <dc:title>三明市第一医院</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B6E12E5D3B8F4379BC3CA1DFAA8BE371_12</vt:lpwstr>
  </property>
</Properties>
</file>