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858DA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396CA425">
      <w:pPr>
        <w:rPr>
          <w:rFonts w:hint="eastAsia" w:ascii="宋体" w:hAnsi="宋体"/>
          <w:b/>
          <w:szCs w:val="21"/>
        </w:rPr>
      </w:pPr>
    </w:p>
    <w:p w14:paraId="119A71F6">
      <w:pPr>
        <w:rPr>
          <w:rFonts w:hint="eastAsia" w:ascii="宋体" w:hAnsi="宋体"/>
          <w:b/>
          <w:szCs w:val="21"/>
        </w:rPr>
      </w:pPr>
    </w:p>
    <w:p w14:paraId="122DE88A">
      <w:pPr>
        <w:rPr>
          <w:rFonts w:hint="eastAsia" w:ascii="宋体" w:hAnsi="宋体"/>
          <w:b/>
          <w:szCs w:val="21"/>
        </w:rPr>
      </w:pPr>
    </w:p>
    <w:p w14:paraId="268BD106">
      <w:pPr>
        <w:rPr>
          <w:rFonts w:hint="eastAsia" w:ascii="宋体" w:hAnsi="宋体"/>
          <w:b/>
          <w:szCs w:val="21"/>
        </w:rPr>
      </w:pPr>
    </w:p>
    <w:p w14:paraId="2F867470">
      <w:pPr>
        <w:rPr>
          <w:rFonts w:hint="eastAsia" w:ascii="宋体" w:hAnsi="宋体"/>
          <w:b/>
          <w:szCs w:val="21"/>
        </w:rPr>
      </w:pPr>
    </w:p>
    <w:p w14:paraId="62E4A232">
      <w:pPr>
        <w:rPr>
          <w:rFonts w:hint="eastAsia" w:ascii="宋体" w:hAnsi="宋体"/>
          <w:b/>
          <w:szCs w:val="21"/>
        </w:rPr>
      </w:pPr>
    </w:p>
    <w:p w14:paraId="58F78CE4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010069AE">
      <w:pPr>
        <w:jc w:val="center"/>
        <w:rPr>
          <w:rFonts w:hint="eastAsia" w:ascii="宋体" w:hAnsi="宋体"/>
          <w:b/>
          <w:sz w:val="24"/>
        </w:rPr>
      </w:pPr>
    </w:p>
    <w:p w14:paraId="1EC3B43A">
      <w:pPr>
        <w:rPr>
          <w:rFonts w:hint="eastAsia" w:ascii="宋体" w:hAnsi="宋体"/>
          <w:b/>
          <w:sz w:val="24"/>
        </w:rPr>
      </w:pPr>
    </w:p>
    <w:p w14:paraId="75D8A0CE">
      <w:pPr>
        <w:jc w:val="center"/>
        <w:rPr>
          <w:rFonts w:hint="eastAsia" w:ascii="宋体" w:hAnsi="宋体"/>
          <w:b/>
          <w:sz w:val="24"/>
        </w:rPr>
      </w:pPr>
    </w:p>
    <w:p w14:paraId="131BDABE">
      <w:pPr>
        <w:jc w:val="center"/>
        <w:rPr>
          <w:rFonts w:hint="eastAsia" w:ascii="宋体" w:hAnsi="宋体"/>
          <w:b/>
          <w:sz w:val="24"/>
        </w:rPr>
      </w:pPr>
    </w:p>
    <w:p w14:paraId="45B01D1E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03ADF85">
      <w:pPr>
        <w:jc w:val="center"/>
        <w:rPr>
          <w:rFonts w:hint="eastAsia" w:ascii="宋体" w:hAnsi="宋体"/>
          <w:b/>
          <w:sz w:val="28"/>
          <w:szCs w:val="28"/>
        </w:rPr>
      </w:pPr>
    </w:p>
    <w:p w14:paraId="05195059">
      <w:pPr>
        <w:ind w:firstLine="1400" w:firstLineChars="500"/>
        <w:jc w:val="both"/>
        <w:rPr>
          <w:rFonts w:hint="default" w:ascii="宋体" w:hAnsi="宋体" w:eastAsia="宋体" w:cs="Times New Roman"/>
          <w:b/>
          <w:bCs/>
          <w:kern w:val="2"/>
          <w:sz w:val="28"/>
          <w:szCs w:val="24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</w:t>
      </w:r>
      <w:bookmarkStart w:id="2" w:name="_GoBack"/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>心血管疾病临床队列研究专病数据库</w:t>
      </w:r>
      <w:bookmarkEnd w:id="2"/>
      <w:r>
        <w:rPr>
          <w:rFonts w:hint="eastAsia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</w:p>
    <w:p w14:paraId="60A55759">
      <w:pPr>
        <w:pStyle w:val="3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55F4A60C">
      <w:pPr>
        <w:pStyle w:val="3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631FED9C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19765DA6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196C5036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67959523">
      <w:pPr>
        <w:pStyle w:val="3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69FC5B5B">
      <w:pPr>
        <w:pStyle w:val="3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531B7052">
      <w:pPr>
        <w:pStyle w:val="3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037CDF61">
      <w:pPr>
        <w:pStyle w:val="23"/>
        <w:rPr>
          <w:rFonts w:hint="eastAsia" w:ascii="仿宋_GB2312" w:hAnsi="宋体" w:eastAsia="仿宋_GB2312"/>
          <w:b/>
          <w:color w:val="auto"/>
          <w:sz w:val="36"/>
        </w:rPr>
      </w:pPr>
    </w:p>
    <w:p w14:paraId="71198529">
      <w:pPr>
        <w:pStyle w:val="23"/>
        <w:rPr>
          <w:rFonts w:hint="eastAsia" w:ascii="仿宋_GB2312" w:hAnsi="宋体" w:eastAsia="仿宋_GB2312"/>
          <w:b/>
          <w:color w:val="auto"/>
          <w:sz w:val="36"/>
        </w:rPr>
      </w:pPr>
    </w:p>
    <w:p w14:paraId="6D5ECCC4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53F5482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心血管疾病临床队列研究专病数据库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79606AAA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心血管疾病临床队列研究专病数据库</w:t>
      </w:r>
    </w:p>
    <w:p w14:paraId="18A0FD4D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21B8EB58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</w:rPr>
        <w:t>1、</w:t>
      </w: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功能要求：</w:t>
      </w:r>
    </w:p>
    <w:p w14:paraId="1183189D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（1）数据来源三明地区各级医疗机构，包含市级医院、县总医院及基层医疗机构，实现全市心血管疾病诊疗数据汇总，构建多中心、大规模专病数据集，为心血管疾病临床队列研究提供完整数据链。</w:t>
      </w:r>
    </w:p>
    <w:p w14:paraId="2FE38B53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（2）支持数据质量检查，对接入的数据进行完整性、准确性、一致性等方面的检查，及时发现数据中的问题。</w:t>
      </w:r>
    </w:p>
    <w:p w14:paraId="26B6301C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（3）支持数据清洗，根据数据特点和研究需求，制定数据清洗规则，如去除重复数据、处理缺失值、纠正异常值等。</w:t>
      </w:r>
    </w:p>
    <w:p w14:paraId="24498C52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4）支持建设心血管专病库，按照心血管疾病的类型、病因、病理生理等特点，对患者数据进行详细分类，形成不同类型的专病库，如冠心病专病库、高血压专病库等，为针对特定疾病的研究提供精准的数据支持。</w:t>
      </w:r>
    </w:p>
    <w:p w14:paraId="702C0B39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（5）支持根据不同的研究目的和患者特征创建多种类型的临床研究队列，如按年龄、性别、病情严重程度、合并症等分类，并能实时监控队列情况。</w:t>
      </w:r>
    </w:p>
    <w:p w14:paraId="221B6187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（6）支持科研课题全流程管理，如课题创建、纳排、指标选取、随访管理、统计分析、数据导出。</w:t>
      </w:r>
    </w:p>
    <w:p w14:paraId="30F6E1A0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（7）支持依据患者病情（疾病类型、严重程度、治疗阶段等多维度因素）制定个性化随访计划的能力，随访时间节点及内容需支持设置，满足临床科研对不同阶段随访需求。</w:t>
      </w:r>
    </w:p>
    <w:p w14:paraId="7377B779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（8）提供多种心血管疾病病评估量表，支持评估分数自动计算。</w:t>
      </w:r>
    </w:p>
    <w:p w14:paraId="0F029B03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（9）构建便捷的患者端系统，支持患者在居家环境下进行自我健康管理，查看自己病情信息、治疗方案、随访计划等，支持健康宣教功能。</w:t>
      </w:r>
    </w:p>
    <w:p w14:paraId="54B42129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eastAsia="zh-CN"/>
        </w:rPr>
      </w:pPr>
      <w:r>
        <w:rPr>
          <w:rFonts w:hint="eastAsia" w:ascii="仿宋" w:hAnsi="仿宋" w:eastAsia="仿宋" w:cs="仿宋"/>
          <w:b/>
          <w:bCs/>
          <w:sz w:val="22"/>
        </w:rPr>
        <w:t>2.</w:t>
      </w:r>
      <w:r>
        <w:rPr>
          <w:rFonts w:hint="eastAsia" w:ascii="仿宋" w:hAnsi="仿宋" w:eastAsia="仿宋" w:cs="仿宋"/>
          <w:b/>
          <w:bCs/>
          <w:sz w:val="22"/>
          <w:lang w:eastAsia="zh-Hans"/>
        </w:rPr>
        <w:t>软件</w:t>
      </w:r>
      <w:r>
        <w:rPr>
          <w:rFonts w:hint="eastAsia" w:ascii="仿宋" w:hAnsi="仿宋" w:eastAsia="仿宋" w:cs="仿宋"/>
          <w:b/>
          <w:bCs/>
          <w:sz w:val="22"/>
        </w:rPr>
        <w:t>服务</w:t>
      </w:r>
      <w:r>
        <w:rPr>
          <w:rFonts w:hint="eastAsia" w:ascii="仿宋" w:hAnsi="仿宋" w:eastAsia="仿宋" w:cs="仿宋"/>
          <w:b/>
          <w:bCs/>
          <w:sz w:val="22"/>
          <w:lang w:eastAsia="zh-CN"/>
        </w:rPr>
        <w:t>：</w:t>
      </w:r>
    </w:p>
    <w:p w14:paraId="335F23B1">
      <w:pPr>
        <w:spacing w:line="30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-SA"/>
        </w:rPr>
        <w:t>（1）提供心血管疾病临床队列研究专病数据库2年免费维护服务。</w:t>
      </w:r>
    </w:p>
    <w:p w14:paraId="338CD136">
      <w:pPr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 w:ascii="仿宋_GB2312" w:hAnsi="宋体"/>
          <w:color w:val="FF0000"/>
          <w:sz w:val="24"/>
          <w:lang w:val="en-US" w:eastAsia="zh-CN"/>
        </w:rPr>
        <w:t>数据库</w:t>
      </w:r>
      <w:r>
        <w:rPr>
          <w:rFonts w:hint="eastAsia" w:ascii="仿宋_GB2312" w:hAnsi="宋体" w:cs="Times New Roman"/>
          <w:color w:val="FF0000"/>
          <w:sz w:val="24"/>
          <w:lang w:val="en-US" w:eastAsia="zh-CN"/>
        </w:rPr>
        <w:t>必须包括但不限于以上内容要求。</w:t>
      </w:r>
    </w:p>
    <w:p w14:paraId="7B713311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35E22543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4C2F2253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52D0D893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0A23299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060E7187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3A9A0C0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07A3D369">
      <w:pPr>
        <w:pStyle w:val="3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2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095A1066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3162F850">
      <w:pPr>
        <w:pStyle w:val="3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6D02BFC7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沈女士</w:t>
      </w:r>
    </w:p>
    <w:p w14:paraId="65E719D2">
      <w:pPr>
        <w:pStyle w:val="3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3754C462">
      <w:pPr>
        <w:pStyle w:val="24"/>
        <w:numPr>
          <w:ilvl w:val="0"/>
          <w:numId w:val="2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6C44AE3D">
      <w:pPr>
        <w:pStyle w:val="24"/>
        <w:jc w:val="both"/>
        <w:rPr>
          <w:rFonts w:hint="eastAsia" w:ascii="仿宋_GB2312" w:hAnsi="宋体" w:eastAsia="仿宋_GB2312"/>
          <w:b/>
          <w:sz w:val="36"/>
        </w:rPr>
      </w:pPr>
    </w:p>
    <w:p w14:paraId="5753535B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0E2C9B36">
      <w:pPr>
        <w:pStyle w:val="24"/>
        <w:jc w:val="both"/>
        <w:rPr>
          <w:rFonts w:hint="eastAsia" w:ascii="仿宋_GB2312" w:hAnsi="宋体" w:eastAsia="仿宋_GB2312"/>
          <w:b/>
          <w:sz w:val="36"/>
        </w:rPr>
      </w:pPr>
    </w:p>
    <w:p w14:paraId="177F7C7A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</w:p>
    <w:p w14:paraId="6D7B183F">
      <w:pPr>
        <w:pStyle w:val="24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53925B7C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3660149B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3C47C8F0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1DF1C878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2858950D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44C20D9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69530A88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4132A863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689D8CF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7855F0F1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0CA28F67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384CD235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7922408B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5BBB1150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5A05E01D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3C3970CF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42918D45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3BA91AA6">
      <w:pPr>
        <w:pStyle w:val="4"/>
        <w:rPr>
          <w:rFonts w:hint="eastAsia" w:ascii="宋体" w:hAnsi="宋体" w:cs="宋体"/>
          <w:kern w:val="0"/>
          <w:sz w:val="28"/>
          <w:szCs w:val="28"/>
        </w:rPr>
      </w:pPr>
    </w:p>
    <w:p w14:paraId="58F2350D">
      <w:pPr>
        <w:spacing w:line="600" w:lineRule="exact"/>
        <w:rPr>
          <w:sz w:val="28"/>
          <w:szCs w:val="28"/>
        </w:rPr>
      </w:pPr>
    </w:p>
    <w:p w14:paraId="7CD5BB84">
      <w:pPr>
        <w:topLinePunct/>
        <w:snapToGrid w:val="0"/>
        <w:spacing w:line="720" w:lineRule="exact"/>
      </w:pPr>
    </w:p>
    <w:p w14:paraId="13DA5546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CCAA3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4552A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 w14:paraId="762D7A10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D9661">
    <w:pPr>
      <w:pStyle w:val="9"/>
      <w:jc w:val="center"/>
    </w:pPr>
    <w:r>
      <w:fldChar w:fldCharType="begin"/>
    </w:r>
    <w:r>
      <w:rPr>
        <w:rStyle w:val="15"/>
      </w:rPr>
      <w:instrText xml:space="preserve"> PAGE </w:instrText>
    </w:r>
    <w:r>
      <w:fldChar w:fldCharType="separate"/>
    </w:r>
    <w:r>
      <w:rPr>
        <w:rStyle w:val="15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BA8CB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5"/>
        <w:rFonts w:eastAsia="宋体"/>
        <w:sz w:val="28"/>
        <w:szCs w:val="28"/>
      </w:rPr>
    </w:pPr>
    <w:r>
      <w:rPr>
        <w:rStyle w:val="15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5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5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5"/>
        <w:rFonts w:hint="eastAsia" w:eastAsia="宋体"/>
        <w:sz w:val="28"/>
        <w:szCs w:val="28"/>
      </w:rPr>
      <w:t xml:space="preserve"> —</w:t>
    </w:r>
  </w:p>
  <w:p w14:paraId="4D268AEA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5A488">
    <w:pPr>
      <w:pStyle w:val="9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 w14:paraId="1FD21305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12B74BF"/>
    <w:rsid w:val="0221260B"/>
    <w:rsid w:val="027859E8"/>
    <w:rsid w:val="030C130F"/>
    <w:rsid w:val="0F37116A"/>
    <w:rsid w:val="10114D93"/>
    <w:rsid w:val="10D358E2"/>
    <w:rsid w:val="12B53941"/>
    <w:rsid w:val="146C6E0E"/>
    <w:rsid w:val="17000058"/>
    <w:rsid w:val="1CB50B8F"/>
    <w:rsid w:val="1D046191"/>
    <w:rsid w:val="1ECE470F"/>
    <w:rsid w:val="1F437B10"/>
    <w:rsid w:val="21B45A63"/>
    <w:rsid w:val="247003EF"/>
    <w:rsid w:val="261279AA"/>
    <w:rsid w:val="28361BC3"/>
    <w:rsid w:val="311E0417"/>
    <w:rsid w:val="35B83EE9"/>
    <w:rsid w:val="35E21EFB"/>
    <w:rsid w:val="38760FB5"/>
    <w:rsid w:val="38EE56E2"/>
    <w:rsid w:val="3E226E27"/>
    <w:rsid w:val="3EEE34F6"/>
    <w:rsid w:val="41D1259F"/>
    <w:rsid w:val="4319254A"/>
    <w:rsid w:val="44AF3251"/>
    <w:rsid w:val="44FE5FB8"/>
    <w:rsid w:val="4B610DEA"/>
    <w:rsid w:val="51C16A58"/>
    <w:rsid w:val="521D3FBA"/>
    <w:rsid w:val="56604AAB"/>
    <w:rsid w:val="58187D78"/>
    <w:rsid w:val="58480756"/>
    <w:rsid w:val="5AA92BA0"/>
    <w:rsid w:val="5B1E5510"/>
    <w:rsid w:val="5DF05C9F"/>
    <w:rsid w:val="5F90586A"/>
    <w:rsid w:val="5FB96566"/>
    <w:rsid w:val="60676CC4"/>
    <w:rsid w:val="60AE403A"/>
    <w:rsid w:val="620E5F34"/>
    <w:rsid w:val="64AC3E47"/>
    <w:rsid w:val="65881B26"/>
    <w:rsid w:val="65A46FA3"/>
    <w:rsid w:val="67E564E0"/>
    <w:rsid w:val="69653885"/>
    <w:rsid w:val="705428A9"/>
    <w:rsid w:val="718E0A27"/>
    <w:rsid w:val="728C7101"/>
    <w:rsid w:val="72BF0CD3"/>
    <w:rsid w:val="78F76AF6"/>
    <w:rsid w:val="79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"/>
    <w:basedOn w:val="1"/>
    <w:link w:val="19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styleId="12">
    <w:name w:val="Body Text First Indent 2"/>
    <w:basedOn w:val="5"/>
    <w:next w:val="3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character" w:styleId="15">
    <w:name w:val="page number"/>
    <w:basedOn w:val="14"/>
    <w:qFormat/>
    <w:uiPriority w:val="0"/>
  </w:style>
  <w:style w:type="character" w:customStyle="1" w:styleId="16">
    <w:name w:val="页脚 Char"/>
    <w:basedOn w:val="14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7">
    <w:name w:val="页眉 Char"/>
    <w:basedOn w:val="14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Char"/>
    <w:basedOn w:val="14"/>
    <w:link w:val="4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1">
    <w:name w:val="日期 Char"/>
    <w:basedOn w:val="14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2">
    <w:name w:val="批注框文本 Char"/>
    <w:basedOn w:val="14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4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1923</Words>
  <Characters>2015</Characters>
  <Lines>3</Lines>
  <Paragraphs>1</Paragraphs>
  <TotalTime>1</TotalTime>
  <ScaleCrop>false</ScaleCrop>
  <LinksUpToDate>false</LinksUpToDate>
  <CharactersWithSpaces>2521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2025-03-13T13:36:32Z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B2960988708D40D881397903B44DFAC8_13</vt:lpwstr>
  </property>
  <property fmtid="{D5CDD505-2E9C-101B-9397-08002B2CF9AE}" pid="4" name="KSOTemplateDocerSaveRecord">
    <vt:lpwstr>eyJoZGlkIjoiMzRjN2E5NDAwN2VkOWMwZWJkYmJhYWNhZGQwN2I0MWUiLCJ1c2VySWQiOiIzNTAwODIwIn0=</vt:lpwstr>
  </property>
</Properties>
</file>